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DF" w:rsidRPr="00D0614A" w:rsidRDefault="00BB3C9C" w:rsidP="00D0614A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30/5/17 </w:t>
      </w:r>
      <w:r w:rsidR="00D0614A" w:rsidRPr="00D0614A">
        <w:rPr>
          <w:rFonts w:asciiTheme="minorHAnsi" w:hAnsiTheme="minorHAnsi"/>
          <w:b/>
        </w:rPr>
        <w:t>World Café discussion on The Role and Opportunities for CLD</w:t>
      </w:r>
      <w:r w:rsidR="00D0614A">
        <w:rPr>
          <w:rFonts w:asciiTheme="minorHAnsi" w:hAnsiTheme="minorHAnsi"/>
          <w:b/>
        </w:rPr>
        <w:t xml:space="preserve"> (John Galt)</w:t>
      </w:r>
    </w:p>
    <w:p w:rsidR="00D0614A" w:rsidRPr="00D0614A" w:rsidRDefault="00D0614A" w:rsidP="00E36759">
      <w:pPr>
        <w:rPr>
          <w:rFonts w:asciiTheme="minorHAnsi" w:hAnsiTheme="minorHAnsi"/>
        </w:rPr>
      </w:pPr>
    </w:p>
    <w:p w:rsidR="00D51808" w:rsidRPr="00D0614A" w:rsidRDefault="00F87ADF" w:rsidP="00E36759">
      <w:pPr>
        <w:rPr>
          <w:rFonts w:asciiTheme="minorHAnsi" w:hAnsiTheme="minorHAnsi"/>
          <w:b/>
        </w:rPr>
      </w:pPr>
      <w:r w:rsidRPr="00D0614A">
        <w:rPr>
          <w:rFonts w:asciiTheme="minorHAnsi" w:hAnsiTheme="minorHAnsi"/>
          <w:b/>
        </w:rPr>
        <w:t>The role of the CLD worker is to:</w:t>
      </w:r>
    </w:p>
    <w:p w:rsidR="00F87ADF" w:rsidRPr="00D0614A" w:rsidRDefault="00F87ADF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Help communities to understand local democratic processes</w:t>
      </w:r>
    </w:p>
    <w:p w:rsidR="00D51808" w:rsidRPr="00D0614A" w:rsidRDefault="00D51808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Connecting communities with decision makers. Being the bridge. </w:t>
      </w:r>
    </w:p>
    <w:p w:rsidR="00D51808" w:rsidRPr="00D0614A" w:rsidRDefault="00D51808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Encouraging public bodies to be more on board with community needs as well as supporting communities to engage. </w:t>
      </w:r>
    </w:p>
    <w:p w:rsidR="00D51808" w:rsidRPr="00D0614A" w:rsidRDefault="00D51808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Encourage wider involvement </w:t>
      </w:r>
      <w:r w:rsidR="00BB3C9C">
        <w:rPr>
          <w:rFonts w:asciiTheme="minorHAnsi" w:hAnsiTheme="minorHAnsi"/>
        </w:rPr>
        <w:t xml:space="preserve">– beyond the usual participants </w:t>
      </w:r>
      <w:r w:rsidRPr="00D0614A">
        <w:rPr>
          <w:rFonts w:asciiTheme="minorHAnsi" w:hAnsiTheme="minorHAnsi"/>
        </w:rPr>
        <w:t>– door to door if needed!</w:t>
      </w:r>
    </w:p>
    <w:p w:rsidR="00F915F0" w:rsidRPr="00D0614A" w:rsidRDefault="00F915F0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Be able to use a range of creative engagement methods relevant to</w:t>
      </w:r>
      <w:r w:rsidR="00D0614A">
        <w:rPr>
          <w:rFonts w:asciiTheme="minorHAnsi" w:hAnsiTheme="minorHAnsi"/>
        </w:rPr>
        <w:t xml:space="preserve"> communities</w:t>
      </w:r>
    </w:p>
    <w:p w:rsidR="00F915F0" w:rsidRPr="00D0614A" w:rsidRDefault="00F915F0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Understand differences/potential tensions within communities. Encourage public bodies to avoid simplistic assumptions about communities.</w:t>
      </w:r>
    </w:p>
    <w:p w:rsidR="00F87ADF" w:rsidRPr="00D0614A" w:rsidRDefault="00F87ADF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Open up opportunities </w:t>
      </w:r>
      <w:r w:rsidR="00F915F0" w:rsidRPr="00D0614A">
        <w:rPr>
          <w:rFonts w:asciiTheme="minorHAnsi" w:hAnsiTheme="minorHAnsi"/>
        </w:rPr>
        <w:t xml:space="preserve">in communities </w:t>
      </w:r>
      <w:r w:rsidRPr="00D0614A">
        <w:rPr>
          <w:rFonts w:asciiTheme="minorHAnsi" w:hAnsiTheme="minorHAnsi"/>
        </w:rPr>
        <w:t>for dialogue about how communities work – where power lies – differences in views in the community – how to influence public bodies and how to do things for themselves.</w:t>
      </w:r>
    </w:p>
    <w:p w:rsidR="0007317C" w:rsidRPr="00D0614A" w:rsidRDefault="0007317C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Understand the relevant data about communities (SIMD </w:t>
      </w:r>
      <w:proofErr w:type="spellStart"/>
      <w:r w:rsidRPr="00D0614A">
        <w:rPr>
          <w:rFonts w:asciiTheme="minorHAnsi" w:hAnsiTheme="minorHAnsi"/>
        </w:rPr>
        <w:t>etc</w:t>
      </w:r>
      <w:proofErr w:type="spellEnd"/>
      <w:r w:rsidRPr="00D0614A">
        <w:rPr>
          <w:rFonts w:asciiTheme="minorHAnsi" w:hAnsiTheme="minorHAnsi"/>
        </w:rPr>
        <w:t>) and encourage communities to understand them to. Good data analysis is part of community engagement – not a replacement for it!</w:t>
      </w:r>
    </w:p>
    <w:p w:rsidR="00D51808" w:rsidRPr="00D0614A" w:rsidRDefault="00D51808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Not shy away from exploring power relationships in communities.</w:t>
      </w:r>
    </w:p>
    <w:p w:rsidR="00F87ADF" w:rsidRPr="00D0614A" w:rsidRDefault="00F87ADF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Work in partnership and encourage others to do so.</w:t>
      </w:r>
    </w:p>
    <w:p w:rsidR="00F87ADF" w:rsidRDefault="00F87ADF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Be a supportive point </w:t>
      </w:r>
      <w:r w:rsidR="00D51808" w:rsidRPr="00D0614A">
        <w:rPr>
          <w:rFonts w:asciiTheme="minorHAnsi" w:hAnsiTheme="minorHAnsi"/>
        </w:rPr>
        <w:t>of</w:t>
      </w:r>
      <w:r w:rsidRPr="00D0614A">
        <w:rPr>
          <w:rFonts w:asciiTheme="minorHAnsi" w:hAnsiTheme="minorHAnsi"/>
        </w:rPr>
        <w:t xml:space="preserve"> contact for groups in communities who want to </w:t>
      </w:r>
      <w:r w:rsidR="00D51808" w:rsidRPr="00D0614A">
        <w:rPr>
          <w:rFonts w:asciiTheme="minorHAnsi" w:hAnsiTheme="minorHAnsi"/>
        </w:rPr>
        <w:t>get things done.</w:t>
      </w:r>
    </w:p>
    <w:p w:rsidR="003E62BA" w:rsidRPr="003E62BA" w:rsidRDefault="003E62BA" w:rsidP="003E62B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Chip away at the traditional view that ’the Council does everything’ – both with public sector bodies and in communities.</w:t>
      </w:r>
    </w:p>
    <w:p w:rsidR="003E62BA" w:rsidRPr="003E62BA" w:rsidRDefault="00D51808" w:rsidP="003E62B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Join the dots for people. </w:t>
      </w:r>
      <w:proofErr w:type="spellStart"/>
      <w:r w:rsidRPr="00D0614A">
        <w:rPr>
          <w:rFonts w:asciiTheme="minorHAnsi" w:hAnsiTheme="minorHAnsi"/>
        </w:rPr>
        <w:t>eg</w:t>
      </w:r>
      <w:proofErr w:type="spellEnd"/>
      <w:r w:rsidRPr="00D0614A">
        <w:rPr>
          <w:rFonts w:asciiTheme="minorHAnsi" w:hAnsiTheme="minorHAnsi"/>
        </w:rPr>
        <w:t xml:space="preserve"> Signposting to the right people around assets transfer.</w:t>
      </w:r>
    </w:p>
    <w:p w:rsidR="00F87ADF" w:rsidRPr="00D0614A" w:rsidRDefault="00F87ADF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Signpost communities to people who can hel</w:t>
      </w:r>
      <w:r w:rsidR="00D0614A">
        <w:rPr>
          <w:rFonts w:asciiTheme="minorHAnsi" w:hAnsiTheme="minorHAnsi"/>
        </w:rPr>
        <w:t>p</w:t>
      </w:r>
      <w:r w:rsidRPr="00D0614A">
        <w:rPr>
          <w:rFonts w:asciiTheme="minorHAnsi" w:hAnsiTheme="minorHAnsi"/>
        </w:rPr>
        <w:t>. Don’t presume you have all the answers.</w:t>
      </w:r>
    </w:p>
    <w:p w:rsidR="00D51808" w:rsidRPr="00D0614A" w:rsidRDefault="00BB3C9C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Listen </w:t>
      </w:r>
      <w:r w:rsidR="00D51808" w:rsidRPr="00D0614A">
        <w:rPr>
          <w:rFonts w:asciiTheme="minorHAnsi" w:hAnsiTheme="minorHAnsi"/>
        </w:rPr>
        <w:t>to what communities want – not only what public bodies think they need.</w:t>
      </w:r>
    </w:p>
    <w:p w:rsidR="00F87ADF" w:rsidRPr="00D0614A" w:rsidRDefault="00F87ADF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Sometimes the role might be to highlight pitfall as well as opportunities.</w:t>
      </w:r>
    </w:p>
    <w:p w:rsidR="0007317C" w:rsidRPr="00D0614A" w:rsidRDefault="0007317C" w:rsidP="00F87AD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Take an organic approach to working with communities. All communities are different.</w:t>
      </w:r>
    </w:p>
    <w:p w:rsidR="0007317C" w:rsidRPr="00D0614A" w:rsidRDefault="0007317C" w:rsidP="0007317C">
      <w:pPr>
        <w:rPr>
          <w:rFonts w:asciiTheme="minorHAnsi" w:hAnsiTheme="minorHAnsi"/>
        </w:rPr>
      </w:pPr>
    </w:p>
    <w:p w:rsidR="0007317C" w:rsidRPr="00D0614A" w:rsidRDefault="0007317C" w:rsidP="0007317C">
      <w:pPr>
        <w:rPr>
          <w:rFonts w:asciiTheme="minorHAnsi" w:hAnsiTheme="minorHAnsi"/>
          <w:b/>
        </w:rPr>
      </w:pPr>
      <w:r w:rsidRPr="00D0614A">
        <w:rPr>
          <w:rFonts w:asciiTheme="minorHAnsi" w:hAnsiTheme="minorHAnsi"/>
          <w:b/>
        </w:rPr>
        <w:t>Opportunities/Issues</w:t>
      </w:r>
    </w:p>
    <w:p w:rsidR="00BB3C9C" w:rsidRPr="00BB3C9C" w:rsidRDefault="00BB3C9C" w:rsidP="00BB3C9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 xml:space="preserve">Be confident about bringing people together in communities. </w:t>
      </w:r>
      <w:r>
        <w:rPr>
          <w:rFonts w:asciiTheme="minorHAnsi" w:hAnsiTheme="minorHAnsi"/>
        </w:rPr>
        <w:t>(</w:t>
      </w:r>
      <w:r w:rsidRPr="00D0614A">
        <w:rPr>
          <w:rFonts w:asciiTheme="minorHAnsi" w:hAnsiTheme="minorHAnsi"/>
        </w:rPr>
        <w:t>It’s our job!</w:t>
      </w:r>
      <w:r>
        <w:rPr>
          <w:rFonts w:asciiTheme="minorHAnsi" w:hAnsiTheme="minorHAnsi"/>
        </w:rPr>
        <w:t>)</w:t>
      </w:r>
    </w:p>
    <w:p w:rsidR="0007317C" w:rsidRPr="00D0614A" w:rsidRDefault="0007317C" w:rsidP="0007317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The Empowerment Act is giving us ‘permission’ to do more developmental work with communities. Some CLD roles have become too service delivery focused in recent years.</w:t>
      </w:r>
    </w:p>
    <w:p w:rsidR="0007317C" w:rsidRPr="00D0614A" w:rsidRDefault="0007317C" w:rsidP="0007317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Concerns about lack of knowledge of the details of the Act for generic workers.</w:t>
      </w:r>
    </w:p>
    <w:p w:rsidR="00383B83" w:rsidRDefault="0007317C" w:rsidP="00383B83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Most people felt that it’s not the role of the CLD worker to provide all of the technical support around asset transfer – but important that they know how the process works in their area.</w:t>
      </w:r>
      <w:r w:rsidR="00383B83">
        <w:rPr>
          <w:rFonts w:asciiTheme="minorHAnsi" w:hAnsiTheme="minorHAnsi"/>
        </w:rPr>
        <w:t xml:space="preserve"> </w:t>
      </w:r>
      <w:r w:rsidR="00383B83" w:rsidRPr="00383B83">
        <w:rPr>
          <w:rFonts w:asciiTheme="minorHAnsi" w:hAnsiTheme="minorHAnsi"/>
        </w:rPr>
        <w:t xml:space="preserve">Make communities aware of the local asset register. </w:t>
      </w:r>
    </w:p>
    <w:p w:rsidR="00BB3C9C" w:rsidRPr="00383B83" w:rsidRDefault="00BB3C9C" w:rsidP="00383B83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Make use of learning opportunities currently being offered by SCDC, DTAS, What Works Scotland on things like PB or the new National Standards for Community Engagement.</w:t>
      </w:r>
    </w:p>
    <w:p w:rsidR="00D0614A" w:rsidRDefault="00D0614A" w:rsidP="00D0614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Equally important to be confident to use our core CLD skills – understanding communities and encouraging and supporting community action.</w:t>
      </w:r>
    </w:p>
    <w:p w:rsidR="00BB3C9C" w:rsidRPr="00D0614A" w:rsidRDefault="00BB3C9C" w:rsidP="00D0614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Make sure we work with third sector CLD partners and other public agencies (Health Boars </w:t>
      </w:r>
      <w:proofErr w:type="spellStart"/>
      <w:r>
        <w:rPr>
          <w:rFonts w:asciiTheme="minorHAnsi" w:hAnsiTheme="minorHAnsi"/>
        </w:rPr>
        <w:t>etc</w:t>
      </w:r>
      <w:proofErr w:type="spellEnd"/>
      <w:r>
        <w:rPr>
          <w:rFonts w:asciiTheme="minorHAnsi" w:hAnsiTheme="minorHAnsi"/>
        </w:rPr>
        <w:t>) – more opportunities to learn and plan together.</w:t>
      </w:r>
    </w:p>
    <w:p w:rsidR="0007317C" w:rsidRPr="00BB3C9C" w:rsidRDefault="0007317C" w:rsidP="00BB3C9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0614A">
        <w:rPr>
          <w:rFonts w:asciiTheme="minorHAnsi" w:hAnsiTheme="minorHAnsi"/>
        </w:rPr>
        <w:t>More case studies of successful stories where community groups have made a real difference and what support from CLD workers they found most useful. Sharing stories that could motivate and inspire other people.</w:t>
      </w:r>
      <w:r w:rsidR="00BB3C9C">
        <w:rPr>
          <w:rFonts w:asciiTheme="minorHAnsi" w:hAnsiTheme="minorHAnsi"/>
        </w:rPr>
        <w:t xml:space="preserve"> </w:t>
      </w:r>
      <w:proofErr w:type="spellStart"/>
      <w:r w:rsidRPr="00BB3C9C">
        <w:rPr>
          <w:rFonts w:asciiTheme="minorHAnsi" w:hAnsiTheme="minorHAnsi"/>
        </w:rPr>
        <w:t>iDevelop</w:t>
      </w:r>
      <w:proofErr w:type="spellEnd"/>
      <w:r w:rsidRPr="00BB3C9C">
        <w:rPr>
          <w:rFonts w:asciiTheme="minorHAnsi" w:hAnsiTheme="minorHAnsi"/>
        </w:rPr>
        <w:t xml:space="preserve"> can be better used to share stories and encourage discussion.</w:t>
      </w:r>
    </w:p>
    <w:sectPr w:rsidR="0007317C" w:rsidRPr="00BB3C9C" w:rsidSect="00AB54FF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DF" w:rsidRDefault="00F87ADF">
      <w:pPr>
        <w:spacing w:line="240" w:lineRule="auto"/>
      </w:pPr>
      <w:r>
        <w:separator/>
      </w:r>
    </w:p>
  </w:endnote>
  <w:endnote w:type="continuationSeparator" w:id="0">
    <w:p w:rsidR="00F87ADF" w:rsidRDefault="00F87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DF" w:rsidRDefault="00F87ADF">
      <w:pPr>
        <w:spacing w:line="240" w:lineRule="auto"/>
      </w:pPr>
      <w:r>
        <w:separator/>
      </w:r>
    </w:p>
  </w:footnote>
  <w:footnote w:type="continuationSeparator" w:id="0">
    <w:p w:rsidR="00F87ADF" w:rsidRDefault="00F87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7827931"/>
    <w:multiLevelType w:val="hybridMultilevel"/>
    <w:tmpl w:val="3DF8B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060D9D"/>
    <w:multiLevelType w:val="hybridMultilevel"/>
    <w:tmpl w:val="F476D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DF"/>
    <w:rsid w:val="0007317C"/>
    <w:rsid w:val="00100021"/>
    <w:rsid w:val="001267F7"/>
    <w:rsid w:val="00157346"/>
    <w:rsid w:val="00192DC7"/>
    <w:rsid w:val="0020489F"/>
    <w:rsid w:val="002F3688"/>
    <w:rsid w:val="00383B83"/>
    <w:rsid w:val="003E62BA"/>
    <w:rsid w:val="003F2479"/>
    <w:rsid w:val="00411FC4"/>
    <w:rsid w:val="0067486A"/>
    <w:rsid w:val="006D26F7"/>
    <w:rsid w:val="00887B2A"/>
    <w:rsid w:val="00952710"/>
    <w:rsid w:val="009F71B8"/>
    <w:rsid w:val="00A56EBA"/>
    <w:rsid w:val="00A90A53"/>
    <w:rsid w:val="00AB54FF"/>
    <w:rsid w:val="00AC310B"/>
    <w:rsid w:val="00AE01CB"/>
    <w:rsid w:val="00BB3C9C"/>
    <w:rsid w:val="00C86FBA"/>
    <w:rsid w:val="00D0614A"/>
    <w:rsid w:val="00D51808"/>
    <w:rsid w:val="00E3599D"/>
    <w:rsid w:val="00E36759"/>
    <w:rsid w:val="00F87ADF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EC042C-6991-4840-B039-677E96C6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8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u418730</dc:creator>
  <cp:lastModifiedBy>sue holland-smith</cp:lastModifiedBy>
  <cp:revision>2</cp:revision>
  <dcterms:created xsi:type="dcterms:W3CDTF">2017-06-01T13:49:00Z</dcterms:created>
  <dcterms:modified xsi:type="dcterms:W3CDTF">2017-06-01T13:49:00Z</dcterms:modified>
</cp:coreProperties>
</file>