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8F58" w14:textId="56007F76" w:rsidR="006265FA" w:rsidRDefault="006265FA">
      <w:pPr>
        <w:rPr>
          <w:rFonts w:cs="Arial"/>
          <w:lang w:val="en-US"/>
        </w:rPr>
      </w:pPr>
      <w:bookmarkStart w:id="0" w:name="_GoBack"/>
      <w:bookmarkEnd w:id="0"/>
      <w:r>
        <w:t xml:space="preserve">Theme: </w:t>
      </w:r>
      <w:r w:rsidR="00CD5066" w:rsidRPr="00CD5066">
        <w:rPr>
          <w:rFonts w:cs="Arial"/>
          <w:lang w:val="en-US"/>
        </w:rPr>
        <w:t>Building the professional capacity of teachers, practitioners and leaders</w:t>
      </w:r>
    </w:p>
    <w:p w14:paraId="73DE96DD" w14:textId="10DCD22A" w:rsidR="00481D8D" w:rsidRDefault="00481D8D"/>
    <w:p w14:paraId="77B25E69" w14:textId="155BB947" w:rsidR="00481D8D" w:rsidRPr="00481D8D" w:rsidRDefault="00481D8D">
      <w:pPr>
        <w:rPr>
          <w:b/>
        </w:rPr>
      </w:pPr>
      <w:r w:rsidRPr="00481D8D">
        <w:rPr>
          <w:b/>
        </w:rPr>
        <w:t>A Professional Learning Framework for CLD in Scotland</w:t>
      </w:r>
    </w:p>
    <w:p w14:paraId="160E248B" w14:textId="77777777" w:rsidR="006265FA" w:rsidRPr="00481D8D" w:rsidRDefault="006265FA">
      <w:pPr>
        <w:rPr>
          <w:b/>
        </w:rPr>
      </w:pPr>
    </w:p>
    <w:p w14:paraId="7AE3D03D" w14:textId="1B94490E" w:rsidR="00F94947" w:rsidRDefault="00D57C43">
      <w:r>
        <w:t xml:space="preserve">This </w:t>
      </w:r>
      <w:r w:rsidR="00FC22B1">
        <w:t xml:space="preserve">submission is based on the current work of the Professional Learning Committee </w:t>
      </w:r>
      <w:r w:rsidR="00BD5D9D">
        <w:t>of the Community Learning and Development Standards Council for Scotland</w:t>
      </w:r>
      <w:r w:rsidR="00045085">
        <w:t xml:space="preserve"> (CLDSC)</w:t>
      </w:r>
      <w:r w:rsidR="00BD5D9D">
        <w:t xml:space="preserve"> </w:t>
      </w:r>
      <w:r w:rsidR="00A53BE2">
        <w:t xml:space="preserve">identifying and exploring </w:t>
      </w:r>
      <w:r w:rsidR="00871259">
        <w:t xml:space="preserve">the professional learning and development needs </w:t>
      </w:r>
      <w:r w:rsidR="0085688D">
        <w:t xml:space="preserve">of community learning and development practitioners </w:t>
      </w:r>
      <w:r w:rsidR="00747EB3">
        <w:t>in Scotland. This seminar</w:t>
      </w:r>
      <w:r w:rsidR="005A7332">
        <w:t>/paper discusses the findings of a recent survey of CLDSC mem</w:t>
      </w:r>
      <w:r w:rsidR="006869A1">
        <w:t>bers focusing</w:t>
      </w:r>
      <w:r w:rsidR="00A502EA">
        <w:t xml:space="preserve"> on their learning and development needs </w:t>
      </w:r>
      <w:r w:rsidR="00CD2E0C">
        <w:t xml:space="preserve">and how this is informing the work of the PL Committee </w:t>
      </w:r>
      <w:r w:rsidR="002E7040">
        <w:t xml:space="preserve">in advancing its work with respect to </w:t>
      </w:r>
      <w:r w:rsidR="003F6213">
        <w:t xml:space="preserve">the development of a culture of learning </w:t>
      </w:r>
      <w:r w:rsidR="00F246B9">
        <w:t xml:space="preserve">as </w:t>
      </w:r>
      <w:r w:rsidR="00DD7B74">
        <w:t xml:space="preserve">outlined in </w:t>
      </w:r>
      <w:r w:rsidR="00276C8B">
        <w:t xml:space="preserve">the CLDSC </w:t>
      </w:r>
      <w:r w:rsidR="00F52E5A">
        <w:t xml:space="preserve"> (2015) </w:t>
      </w:r>
      <w:r w:rsidR="00276C8B">
        <w:t xml:space="preserve">strategy </w:t>
      </w:r>
      <w:r w:rsidR="00103420">
        <w:t xml:space="preserve">and framework </w:t>
      </w:r>
      <w:r w:rsidR="00F52E5A">
        <w:t xml:space="preserve">document, </w:t>
      </w:r>
      <w:r w:rsidR="00F52E5A" w:rsidRPr="00F52E5A">
        <w:rPr>
          <w:i/>
        </w:rPr>
        <w:t>Growing the Learning Culture for Workforce Development</w:t>
      </w:r>
      <w:r w:rsidR="00F52E5A">
        <w:t>.</w:t>
      </w:r>
    </w:p>
    <w:p w14:paraId="0E39E508" w14:textId="77777777" w:rsidR="002A34BB" w:rsidRDefault="002A34BB"/>
    <w:p w14:paraId="3CC3ABD1" w14:textId="08E31B69" w:rsidR="002A34BB" w:rsidRDefault="002A34BB">
      <w:r>
        <w:t xml:space="preserve">Drawing from the membership survey and </w:t>
      </w:r>
      <w:r w:rsidR="008031A2">
        <w:t>the wor</w:t>
      </w:r>
      <w:r w:rsidR="00B56584">
        <w:t xml:space="preserve">k of Dreyfus </w:t>
      </w:r>
      <w:r w:rsidR="006E0378">
        <w:t>(2004) and Kennedy (2014</w:t>
      </w:r>
      <w:r w:rsidR="00045085">
        <w:t>),</w:t>
      </w:r>
      <w:r w:rsidR="00C9418E">
        <w:t xml:space="preserve"> amongst others</w:t>
      </w:r>
      <w:r w:rsidR="00045085">
        <w:t>, t</w:t>
      </w:r>
      <w:r w:rsidR="005A4FE9">
        <w:t>he seminar</w:t>
      </w:r>
      <w:r w:rsidR="00D90D33">
        <w:t xml:space="preserve">/paper </w:t>
      </w:r>
      <w:r w:rsidR="007D43A0">
        <w:t>w</w:t>
      </w:r>
      <w:r w:rsidR="00C81241">
        <w:t xml:space="preserve">ill </w:t>
      </w:r>
      <w:r w:rsidR="003E7A7C">
        <w:t xml:space="preserve">explore how the CLDSC can develop </w:t>
      </w:r>
      <w:r w:rsidR="002278DE">
        <w:t>a</w:t>
      </w:r>
      <w:r w:rsidR="00C70160">
        <w:t xml:space="preserve"> professional learning and development framework that supports </w:t>
      </w:r>
      <w:r w:rsidR="00B50BDC">
        <w:t>early to</w:t>
      </w:r>
      <w:r w:rsidR="003D178B">
        <w:t xml:space="preserve"> advanced practice</w:t>
      </w:r>
      <w:r w:rsidR="00C2309C">
        <w:t xml:space="preserve"> in </w:t>
      </w:r>
      <w:r w:rsidR="00B82328">
        <w:t>line with professional standards and ethics.</w:t>
      </w:r>
    </w:p>
    <w:p w14:paraId="4F265B00" w14:textId="52CBCDDA" w:rsidR="00735C4E" w:rsidRDefault="00735C4E"/>
    <w:p w14:paraId="42889BB1" w14:textId="3C5039A3" w:rsidR="00A7119A" w:rsidRDefault="00A7119A">
      <w:r>
        <w:t>The notion of professio</w:t>
      </w:r>
      <w:r w:rsidR="00C9418E">
        <w:t>nal learning is resonant acros</w:t>
      </w:r>
      <w:r w:rsidR="00415021">
        <w:t>s professions within what is sometimes called</w:t>
      </w:r>
      <w:r w:rsidR="00295BA6">
        <w:t xml:space="preserve"> </w:t>
      </w:r>
      <w:r w:rsidR="00C9418E">
        <w:t xml:space="preserve">the ‘caring professions’ </w:t>
      </w:r>
      <w:r w:rsidR="00F52E5A">
        <w:t xml:space="preserve">and </w:t>
      </w:r>
      <w:r w:rsidR="00415021">
        <w:t xml:space="preserve">has a particular interest in how </w:t>
      </w:r>
      <w:r w:rsidR="00B863D9">
        <w:t xml:space="preserve">professionals acquire knowledge and competence </w:t>
      </w:r>
      <w:r w:rsidR="00415021">
        <w:t xml:space="preserve">(Eraut 1994, 2007) </w:t>
      </w:r>
      <w:r w:rsidR="00045085">
        <w:t>and this session also draws on comparable professional development frameworks such as within teaching</w:t>
      </w:r>
      <w:r w:rsidR="00E07C57">
        <w:t>,</w:t>
      </w:r>
      <w:r w:rsidR="00B50BDC">
        <w:t xml:space="preserve"> </w:t>
      </w:r>
      <w:r w:rsidR="00045085">
        <w:t xml:space="preserve">social work </w:t>
      </w:r>
      <w:r w:rsidR="00E07C57">
        <w:t xml:space="preserve">and nursing </w:t>
      </w:r>
      <w:r w:rsidR="00045085">
        <w:t xml:space="preserve">to illuminate professional </w:t>
      </w:r>
      <w:r w:rsidR="00B50BDC">
        <w:t xml:space="preserve">journeys for CLD practitioners and how electronic platforms such as the CLDSC’s </w:t>
      </w:r>
      <w:r w:rsidR="00B50BDC" w:rsidRPr="00B50BDC">
        <w:rPr>
          <w:i/>
        </w:rPr>
        <w:t>i-develop</w:t>
      </w:r>
      <w:r w:rsidR="00B50BDC">
        <w:t xml:space="preserve"> can be used to support professional learning and development and its relationship with professional registration.</w:t>
      </w:r>
    </w:p>
    <w:p w14:paraId="3C51087F" w14:textId="77777777" w:rsidR="00A7119A" w:rsidRDefault="00A7119A"/>
    <w:p w14:paraId="4B41C975" w14:textId="77777777" w:rsidR="00A7119A" w:rsidRDefault="00A7119A"/>
    <w:p w14:paraId="0F2D1D08" w14:textId="77777777" w:rsidR="00A7119A" w:rsidRDefault="00A7119A"/>
    <w:p w14:paraId="4D9B1D9C" w14:textId="46D0B13F" w:rsidR="00735C4E" w:rsidRDefault="00735C4E">
      <w:r>
        <w:t>References</w:t>
      </w:r>
    </w:p>
    <w:p w14:paraId="6852F097" w14:textId="07D495E2" w:rsidR="006E0378" w:rsidRPr="00862757" w:rsidRDefault="006E0378" w:rsidP="0008553F">
      <w:pPr>
        <w:pStyle w:val="NormalWeb"/>
        <w:rPr>
          <w:rFonts w:asciiTheme="minorHAnsi" w:hAnsiTheme="minorHAnsi"/>
          <w:sz w:val="24"/>
          <w:szCs w:val="24"/>
        </w:rPr>
      </w:pPr>
      <w:r w:rsidRPr="00862757">
        <w:rPr>
          <w:rFonts w:asciiTheme="minorHAnsi" w:hAnsiTheme="minorHAnsi"/>
          <w:sz w:val="24"/>
          <w:szCs w:val="24"/>
        </w:rPr>
        <w:t>CLDSC</w:t>
      </w:r>
      <w:r w:rsidR="003C505D" w:rsidRPr="00862757">
        <w:rPr>
          <w:rFonts w:asciiTheme="minorHAnsi" w:hAnsiTheme="minorHAnsi"/>
          <w:sz w:val="24"/>
          <w:szCs w:val="24"/>
        </w:rPr>
        <w:t xml:space="preserve"> (2015) </w:t>
      </w:r>
      <w:r w:rsidR="003C505D" w:rsidRPr="00862757">
        <w:rPr>
          <w:rFonts w:asciiTheme="minorHAnsi" w:hAnsiTheme="minorHAnsi" w:cs="Arial"/>
          <w:i/>
          <w:iCs/>
          <w:color w:val="262626"/>
          <w:sz w:val="24"/>
          <w:szCs w:val="24"/>
          <w:lang w:val="en-US"/>
        </w:rPr>
        <w:t>Growing the Learning Culture for Workforce Development</w:t>
      </w:r>
      <w:r w:rsidR="003C505D" w:rsidRPr="00862757">
        <w:rPr>
          <w:rFonts w:asciiTheme="minorHAnsi" w:hAnsiTheme="minorHAnsi" w:cs="Arial"/>
          <w:iCs/>
          <w:color w:val="262626"/>
          <w:sz w:val="24"/>
          <w:szCs w:val="24"/>
          <w:lang w:val="en-US"/>
        </w:rPr>
        <w:t>, Glasgow: CLDSC</w:t>
      </w:r>
    </w:p>
    <w:p w14:paraId="4A766C5C" w14:textId="3933F1E1" w:rsidR="006E0378" w:rsidRDefault="006E0378" w:rsidP="006E0378">
      <w:pPr>
        <w:pStyle w:val="NormalWeb"/>
        <w:rPr>
          <w:rFonts w:asciiTheme="minorHAnsi" w:hAnsiTheme="minorHAnsi"/>
          <w:sz w:val="24"/>
          <w:szCs w:val="24"/>
        </w:rPr>
      </w:pPr>
      <w:r w:rsidRPr="00A7119A">
        <w:rPr>
          <w:rFonts w:asciiTheme="minorHAnsi" w:hAnsiTheme="minorHAnsi"/>
          <w:sz w:val="24"/>
          <w:szCs w:val="24"/>
        </w:rPr>
        <w:t>Dreyfus</w:t>
      </w:r>
      <w:r w:rsidRPr="00A7119A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S.E.</w:t>
      </w:r>
      <w:r w:rsidRPr="00A7119A">
        <w:rPr>
          <w:rFonts w:asciiTheme="minorHAnsi" w:hAnsiTheme="minorHAnsi"/>
          <w:bCs/>
          <w:sz w:val="24"/>
          <w:szCs w:val="24"/>
        </w:rPr>
        <w:t xml:space="preserve">(2004) </w:t>
      </w:r>
      <w:r w:rsidRPr="00A7119A">
        <w:rPr>
          <w:rFonts w:asciiTheme="minorHAnsi" w:hAnsiTheme="minorHAnsi"/>
          <w:bCs/>
          <w:i/>
          <w:sz w:val="24"/>
          <w:szCs w:val="24"/>
        </w:rPr>
        <w:t>The Five-Stage Model of Adult Skill Acquisition</w:t>
      </w:r>
      <w:r w:rsidRPr="00A7119A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Pr="00A7119A">
        <w:rPr>
          <w:rFonts w:asciiTheme="minorHAnsi" w:hAnsiTheme="minorHAnsi"/>
          <w:i/>
          <w:iCs/>
          <w:sz w:val="24"/>
          <w:szCs w:val="24"/>
        </w:rPr>
        <w:t xml:space="preserve">Bulletin of Science Technology &amp; Society </w:t>
      </w:r>
      <w:r w:rsidRPr="00A7119A">
        <w:rPr>
          <w:rFonts w:asciiTheme="minorHAnsi" w:hAnsiTheme="minorHAnsi"/>
          <w:sz w:val="24"/>
          <w:szCs w:val="24"/>
        </w:rPr>
        <w:t xml:space="preserve">2004 24: 177 </w:t>
      </w:r>
    </w:p>
    <w:p w14:paraId="36470272" w14:textId="3AFFF130" w:rsidR="00045085" w:rsidRDefault="00045085" w:rsidP="0008553F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Eraut</w:t>
      </w:r>
      <w:r w:rsidR="00295BA6">
        <w:rPr>
          <w:rFonts w:asciiTheme="minorHAnsi" w:hAnsiTheme="minorHAnsi"/>
          <w:sz w:val="24"/>
          <w:szCs w:val="24"/>
        </w:rPr>
        <w:t xml:space="preserve"> M. (1994) Developing Professional Knowledge a</w:t>
      </w:r>
      <w:r w:rsidR="003C505D">
        <w:rPr>
          <w:rFonts w:asciiTheme="minorHAnsi" w:hAnsiTheme="minorHAnsi"/>
          <w:sz w:val="24"/>
          <w:szCs w:val="24"/>
        </w:rPr>
        <w:t>nd Competence, London: Routledge</w:t>
      </w:r>
    </w:p>
    <w:p w14:paraId="05BE40EC" w14:textId="01BAE9AE" w:rsidR="00415021" w:rsidRPr="00415021" w:rsidRDefault="00415021" w:rsidP="0008553F">
      <w:pPr>
        <w:pStyle w:val="NormalWeb"/>
        <w:rPr>
          <w:rFonts w:asciiTheme="minorHAnsi" w:hAnsiTheme="minorHAnsi"/>
          <w:sz w:val="24"/>
          <w:szCs w:val="24"/>
        </w:rPr>
      </w:pPr>
      <w:r w:rsidRPr="00415021">
        <w:rPr>
          <w:rFonts w:asciiTheme="minorHAnsi" w:hAnsiTheme="minorHAnsi" w:cs="Arial"/>
          <w:sz w:val="24"/>
          <w:szCs w:val="24"/>
          <w:lang w:val="en-US"/>
        </w:rPr>
        <w:t>Eraut M</w:t>
      </w:r>
      <w:r w:rsidR="006E0378">
        <w:rPr>
          <w:rFonts w:asciiTheme="minorHAnsi" w:hAnsiTheme="minorHAnsi" w:cs="Arial"/>
          <w:sz w:val="24"/>
          <w:szCs w:val="24"/>
          <w:lang w:val="en-US"/>
        </w:rPr>
        <w:t>.</w:t>
      </w:r>
      <w:r w:rsidRPr="00415021">
        <w:rPr>
          <w:rFonts w:asciiTheme="minorHAnsi" w:hAnsiTheme="minorHAnsi" w:cs="Arial"/>
          <w:sz w:val="24"/>
          <w:szCs w:val="24"/>
          <w:lang w:val="en-US"/>
        </w:rPr>
        <w:t xml:space="preserve"> (2007) Learning from Other People in the Workplace,</w:t>
      </w:r>
      <w:r w:rsidRPr="00415021">
        <w:rPr>
          <w:rFonts w:asciiTheme="minorHAnsi" w:hAnsiTheme="minorHAnsi" w:cs="Lucida Grande"/>
          <w:sz w:val="24"/>
          <w:szCs w:val="24"/>
          <w:lang w:val="en-US"/>
        </w:rPr>
        <w:t xml:space="preserve"> </w:t>
      </w:r>
      <w:r w:rsidRPr="00415021">
        <w:rPr>
          <w:rFonts w:asciiTheme="minorHAnsi" w:hAnsiTheme="minorHAnsi" w:cs="Arial"/>
          <w:i/>
          <w:iCs/>
          <w:sz w:val="24"/>
          <w:szCs w:val="24"/>
          <w:lang w:val="en-US"/>
        </w:rPr>
        <w:t>Oxford</w:t>
      </w:r>
      <w:r w:rsidRPr="00415021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Pr="00415021">
        <w:rPr>
          <w:rFonts w:asciiTheme="minorHAnsi" w:hAnsiTheme="minorHAnsi" w:cs="Arial"/>
          <w:i/>
          <w:iCs/>
          <w:sz w:val="24"/>
          <w:szCs w:val="24"/>
          <w:lang w:val="en-US"/>
        </w:rPr>
        <w:t>Review of Education,</w:t>
      </w:r>
      <w:r w:rsidRPr="00415021">
        <w:rPr>
          <w:rFonts w:asciiTheme="minorHAnsi" w:hAnsiTheme="minorHAnsi" w:cs="Arial"/>
          <w:sz w:val="24"/>
          <w:szCs w:val="24"/>
          <w:lang w:val="en-US"/>
        </w:rPr>
        <w:t xml:space="preserve"> 33 (4), 403-422</w:t>
      </w:r>
    </w:p>
    <w:p w14:paraId="480943D8" w14:textId="6E459E18" w:rsidR="00045085" w:rsidRDefault="00415021" w:rsidP="0008553F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Theme="minorHAnsi" w:hAnsiTheme="minorHAnsi"/>
          <w:sz w:val="24"/>
          <w:szCs w:val="24"/>
        </w:rPr>
        <w:t>K</w:t>
      </w:r>
      <w:r>
        <w:rPr>
          <w:rFonts w:ascii="Arial" w:hAnsi="Arial" w:cs="Arial"/>
          <w:sz w:val="22"/>
          <w:szCs w:val="22"/>
          <w:lang w:val="en-US"/>
        </w:rPr>
        <w:t xml:space="preserve">ennedy, A </w:t>
      </w:r>
      <w:r w:rsidR="006E0378">
        <w:rPr>
          <w:rFonts w:ascii="Arial" w:hAnsi="Arial" w:cs="Arial"/>
          <w:sz w:val="22"/>
          <w:szCs w:val="22"/>
          <w:lang w:val="en-US"/>
        </w:rPr>
        <w:t>.(2014)</w:t>
      </w:r>
      <w:r>
        <w:rPr>
          <w:rFonts w:ascii="Arial" w:hAnsi="Arial" w:cs="Arial"/>
          <w:sz w:val="22"/>
          <w:szCs w:val="22"/>
          <w:lang w:val="en-US"/>
        </w:rPr>
        <w:t xml:space="preserve"> 'Models of Continuing Professional Development: A framework for analysis' </w:t>
      </w:r>
      <w:r>
        <w:rPr>
          <w:rFonts w:ascii="Arial" w:hAnsi="Arial" w:cs="Arial"/>
          <w:i/>
          <w:iCs/>
          <w:sz w:val="22"/>
          <w:szCs w:val="22"/>
          <w:lang w:val="en-US"/>
        </w:rPr>
        <w:t>Professional Development in Education</w:t>
      </w:r>
      <w:r>
        <w:rPr>
          <w:rFonts w:ascii="Arial" w:hAnsi="Arial" w:cs="Arial"/>
          <w:sz w:val="22"/>
          <w:szCs w:val="22"/>
          <w:lang w:val="en-US"/>
        </w:rPr>
        <w:t>, vol 40, no. 3, pp. 336-35</w:t>
      </w:r>
    </w:p>
    <w:p w14:paraId="6C26B9DE" w14:textId="1721BB1A" w:rsidR="00CD5066" w:rsidRDefault="00CD5066" w:rsidP="0008553F">
      <w:pPr>
        <w:pStyle w:val="NormalWeb"/>
        <w:rPr>
          <w:rFonts w:asciiTheme="minorHAnsi" w:hAnsiTheme="minorHAnsi"/>
          <w:sz w:val="24"/>
          <w:szCs w:val="24"/>
        </w:rPr>
      </w:pPr>
    </w:p>
    <w:p w14:paraId="74A55886" w14:textId="77777777" w:rsidR="00CD5066" w:rsidRDefault="00CD5066" w:rsidP="0008553F">
      <w:pPr>
        <w:pStyle w:val="NormalWeb"/>
        <w:rPr>
          <w:rFonts w:asciiTheme="minorHAnsi" w:hAnsiTheme="minorHAnsi"/>
          <w:sz w:val="24"/>
          <w:szCs w:val="24"/>
        </w:rPr>
      </w:pPr>
    </w:p>
    <w:p w14:paraId="1A9D1455" w14:textId="1A48C474" w:rsidR="00CD5066" w:rsidRDefault="00CD5066" w:rsidP="0008553F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MN 20.1.17</w:t>
      </w:r>
    </w:p>
    <w:p w14:paraId="703579F2" w14:textId="72993890" w:rsidR="00735C4E" w:rsidRDefault="00735C4E" w:rsidP="009F2BCC"/>
    <w:sectPr w:rsidR="00735C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47"/>
    <w:rsid w:val="00045085"/>
    <w:rsid w:val="0008553F"/>
    <w:rsid w:val="00103420"/>
    <w:rsid w:val="002278DE"/>
    <w:rsid w:val="00276C8B"/>
    <w:rsid w:val="00295BA6"/>
    <w:rsid w:val="002A34BB"/>
    <w:rsid w:val="002E7040"/>
    <w:rsid w:val="003C505D"/>
    <w:rsid w:val="003D178B"/>
    <w:rsid w:val="003E3BC4"/>
    <w:rsid w:val="003E7A7C"/>
    <w:rsid w:val="003F6213"/>
    <w:rsid w:val="00415021"/>
    <w:rsid w:val="00481D8D"/>
    <w:rsid w:val="005A4FE9"/>
    <w:rsid w:val="005A7332"/>
    <w:rsid w:val="006265FA"/>
    <w:rsid w:val="006869A1"/>
    <w:rsid w:val="006E0378"/>
    <w:rsid w:val="00735C4E"/>
    <w:rsid w:val="00747EB3"/>
    <w:rsid w:val="007D43A0"/>
    <w:rsid w:val="008031A2"/>
    <w:rsid w:val="0085688D"/>
    <w:rsid w:val="00862757"/>
    <w:rsid w:val="00871259"/>
    <w:rsid w:val="00900301"/>
    <w:rsid w:val="009F2BCC"/>
    <w:rsid w:val="00A502EA"/>
    <w:rsid w:val="00A53BE2"/>
    <w:rsid w:val="00A7119A"/>
    <w:rsid w:val="00B17AC2"/>
    <w:rsid w:val="00B50BDC"/>
    <w:rsid w:val="00B56584"/>
    <w:rsid w:val="00B82328"/>
    <w:rsid w:val="00B863D9"/>
    <w:rsid w:val="00BD5D9D"/>
    <w:rsid w:val="00C2309C"/>
    <w:rsid w:val="00C666EB"/>
    <w:rsid w:val="00C70160"/>
    <w:rsid w:val="00C81241"/>
    <w:rsid w:val="00C9418E"/>
    <w:rsid w:val="00CB7ED4"/>
    <w:rsid w:val="00CD2E0C"/>
    <w:rsid w:val="00CD5066"/>
    <w:rsid w:val="00D57C43"/>
    <w:rsid w:val="00D90D33"/>
    <w:rsid w:val="00DD7B74"/>
    <w:rsid w:val="00E07C57"/>
    <w:rsid w:val="00F246B9"/>
    <w:rsid w:val="00F52E5A"/>
    <w:rsid w:val="00F94947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743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5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5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4</DocSecurity>
  <Lines>16</Lines>
  <Paragraphs>4</Paragraphs>
  <ScaleCrop>false</ScaleCrop>
  <Company>Scottish Government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mikenaulty@me.com</dc:creator>
  <cp:lastModifiedBy>u441751</cp:lastModifiedBy>
  <cp:revision>2</cp:revision>
  <dcterms:created xsi:type="dcterms:W3CDTF">2017-05-23T15:47:00Z</dcterms:created>
  <dcterms:modified xsi:type="dcterms:W3CDTF">2017-05-23T15:47:00Z</dcterms:modified>
</cp:coreProperties>
</file>