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57" w:rsidRDefault="00836D57" w:rsidP="00836D57">
      <w:pPr>
        <w:jc w:val="center"/>
        <w:rPr>
          <w:b/>
        </w:rPr>
      </w:pPr>
      <w:bookmarkStart w:id="0" w:name="_GoBack"/>
      <w:bookmarkEnd w:id="0"/>
      <w:r>
        <w:rPr>
          <w:rFonts w:ascii="Calibri" w:hAnsi="Calibri" w:cs="Verdana"/>
          <w:b/>
          <w:bCs/>
          <w:noProof/>
          <w:color w:val="0000FF"/>
          <w:lang w:eastAsia="en-GB"/>
        </w:rPr>
        <w:drawing>
          <wp:inline distT="0" distB="0" distL="0" distR="0" wp14:anchorId="64424DE2" wp14:editId="5EB2B895">
            <wp:extent cx="2286000" cy="464820"/>
            <wp:effectExtent l="0" t="0" r="0" b="0"/>
            <wp:docPr id="1" name="Picture 1" descr="Glasgow's%20Learning%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s%20Learning%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464820"/>
                    </a:xfrm>
                    <a:prstGeom prst="rect">
                      <a:avLst/>
                    </a:prstGeom>
                    <a:noFill/>
                    <a:ln>
                      <a:noFill/>
                    </a:ln>
                  </pic:spPr>
                </pic:pic>
              </a:graphicData>
            </a:graphic>
          </wp:inline>
        </w:drawing>
      </w:r>
    </w:p>
    <w:p w:rsidR="00836D57" w:rsidRDefault="00836D57">
      <w:pPr>
        <w:rPr>
          <w:b/>
        </w:rPr>
      </w:pPr>
    </w:p>
    <w:p w:rsidR="006B6D92" w:rsidRDefault="00EC3DAB">
      <w:pPr>
        <w:rPr>
          <w:b/>
        </w:rPr>
      </w:pPr>
      <w:r>
        <w:rPr>
          <w:b/>
        </w:rPr>
        <w:t xml:space="preserve">Glasgow Community Learning and Development Strategic Partnership </w:t>
      </w:r>
      <w:r w:rsidR="00F9549A">
        <w:rPr>
          <w:b/>
        </w:rPr>
        <w:t>(</w:t>
      </w:r>
      <w:r>
        <w:rPr>
          <w:b/>
        </w:rPr>
        <w:t>GCLDSP</w:t>
      </w:r>
      <w:r w:rsidR="00F9549A">
        <w:rPr>
          <w:b/>
        </w:rPr>
        <w:t>)</w:t>
      </w:r>
      <w:r w:rsidR="00CC1F1D">
        <w:rPr>
          <w:b/>
        </w:rPr>
        <w:t xml:space="preserve"> </w:t>
      </w:r>
      <w:r w:rsidR="006B6D92" w:rsidRPr="00B85514">
        <w:rPr>
          <w:b/>
        </w:rPr>
        <w:t>Terms of Reference</w:t>
      </w:r>
    </w:p>
    <w:p w:rsidR="00261E17" w:rsidRDefault="00261E17">
      <w:r w:rsidRPr="00261E17">
        <w:t xml:space="preserve">Section 1:  Community Learning and Development </w:t>
      </w:r>
      <w:r w:rsidR="00DF385E">
        <w:t xml:space="preserve">(CLD) </w:t>
      </w:r>
      <w:r w:rsidR="007845A8">
        <w:t>Ethos</w:t>
      </w:r>
    </w:p>
    <w:tbl>
      <w:tblPr>
        <w:tblStyle w:val="TableGrid"/>
        <w:tblW w:w="0" w:type="auto"/>
        <w:tblLook w:val="04A0" w:firstRow="1" w:lastRow="0" w:firstColumn="1" w:lastColumn="0" w:noHBand="0" w:noVBand="1"/>
      </w:tblPr>
      <w:tblGrid>
        <w:gridCol w:w="392"/>
        <w:gridCol w:w="3260"/>
        <w:gridCol w:w="5590"/>
      </w:tblGrid>
      <w:tr w:rsidR="00AE4B29" w:rsidTr="007845A8">
        <w:tc>
          <w:tcPr>
            <w:tcW w:w="9242" w:type="dxa"/>
            <w:gridSpan w:val="3"/>
            <w:shd w:val="clear" w:color="auto" w:fill="C6D9F1" w:themeFill="text2" w:themeFillTint="33"/>
          </w:tcPr>
          <w:p w:rsidR="00AE4B29" w:rsidRDefault="007845A8" w:rsidP="00DF385E">
            <w:r>
              <w:t>Definition</w:t>
            </w:r>
            <w:r w:rsidR="00DF385E">
              <w:t xml:space="preserve"> and Benefits </w:t>
            </w:r>
          </w:p>
        </w:tc>
      </w:tr>
      <w:tr w:rsidR="00AE4B29" w:rsidTr="00AE4B29">
        <w:tc>
          <w:tcPr>
            <w:tcW w:w="9242" w:type="dxa"/>
            <w:gridSpan w:val="3"/>
          </w:tcPr>
          <w:p w:rsidR="00AE4B29" w:rsidRPr="00DF385E" w:rsidRDefault="00AE4B29" w:rsidP="00DF385E">
            <w:pPr>
              <w:pStyle w:val="ListParagraph"/>
              <w:numPr>
                <w:ilvl w:val="0"/>
                <w:numId w:val="15"/>
              </w:numPr>
              <w:rPr>
                <w:i/>
              </w:rPr>
            </w:pPr>
            <w:r w:rsidRPr="00DF385E">
              <w:rPr>
                <w:i/>
              </w:rPr>
              <w:t xml:space="preserve">Community </w:t>
            </w:r>
            <w:proofErr w:type="gramStart"/>
            <w:r w:rsidRPr="00DF385E">
              <w:rPr>
                <w:i/>
              </w:rPr>
              <w:t>Learning</w:t>
            </w:r>
            <w:proofErr w:type="gramEnd"/>
            <w:r w:rsidRPr="00DF385E">
              <w:rPr>
                <w:i/>
              </w:rPr>
              <w:t xml:space="preserve"> and Development should empower people, individually and collectively, to make positive changes in their lives and their communities through learning.</w:t>
            </w:r>
          </w:p>
          <w:p w:rsidR="00DF385E" w:rsidRPr="00305968" w:rsidRDefault="00DF385E" w:rsidP="00DF385E">
            <w:pPr>
              <w:pStyle w:val="ListParagraph"/>
              <w:numPr>
                <w:ilvl w:val="0"/>
                <w:numId w:val="15"/>
              </w:numPr>
              <w:rPr>
                <w:i/>
              </w:rPr>
            </w:pPr>
            <w:r w:rsidRPr="00DF385E">
              <w:rPr>
                <w:i/>
                <w:color w:val="000000"/>
              </w:rPr>
              <w:t xml:space="preserve">CLD helps to develop the resilience and ambition needed to combat the effects of economic factors which cause deprivation and inequality. </w:t>
            </w:r>
          </w:p>
          <w:p w:rsidR="00305968" w:rsidRPr="002A2DAD" w:rsidRDefault="002A2DAD" w:rsidP="00DF385E">
            <w:pPr>
              <w:pStyle w:val="ListParagraph"/>
              <w:numPr>
                <w:ilvl w:val="0"/>
                <w:numId w:val="15"/>
              </w:numPr>
              <w:rPr>
                <w:i/>
              </w:rPr>
            </w:pPr>
            <w:r w:rsidRPr="002A2DAD">
              <w:rPr>
                <w:i/>
              </w:rPr>
              <w:t xml:space="preserve">CLD develops the confidence, skills and wellbeing </w:t>
            </w:r>
            <w:r>
              <w:rPr>
                <w:i/>
              </w:rPr>
              <w:t xml:space="preserve">of individuals, families and communities and improves their </w:t>
            </w:r>
            <w:r w:rsidRPr="002A2DAD">
              <w:rPr>
                <w:i/>
              </w:rPr>
              <w:t>aspirations</w:t>
            </w:r>
            <w:r>
              <w:rPr>
                <w:i/>
              </w:rPr>
              <w:t>, life chances</w:t>
            </w:r>
            <w:r w:rsidRPr="002A2DAD">
              <w:rPr>
                <w:i/>
              </w:rPr>
              <w:t xml:space="preserve"> and resilience </w:t>
            </w:r>
          </w:p>
          <w:p w:rsidR="00DF385E" w:rsidRPr="00DF385E" w:rsidRDefault="00DF385E" w:rsidP="00DF385E">
            <w:pPr>
              <w:pStyle w:val="ListParagraph"/>
              <w:numPr>
                <w:ilvl w:val="0"/>
                <w:numId w:val="15"/>
              </w:numPr>
              <w:rPr>
                <w:i/>
              </w:rPr>
            </w:pPr>
            <w:r>
              <w:rPr>
                <w:i/>
                <w:color w:val="000000"/>
              </w:rPr>
              <w:t>CLD</w:t>
            </w:r>
            <w:r w:rsidRPr="00DF385E">
              <w:rPr>
                <w:i/>
                <w:color w:val="000000"/>
              </w:rPr>
              <w:t xml:space="preserve"> ensures that barriers to achieving better life chances are identified, understood and overcome and that communities are full partners in delivering practical and policy solutions.</w:t>
            </w:r>
          </w:p>
        </w:tc>
      </w:tr>
      <w:tr w:rsidR="00DF385E" w:rsidTr="00DF385E">
        <w:tc>
          <w:tcPr>
            <w:tcW w:w="9242" w:type="dxa"/>
            <w:gridSpan w:val="3"/>
            <w:shd w:val="clear" w:color="auto" w:fill="C6D9F1" w:themeFill="text2" w:themeFillTint="33"/>
          </w:tcPr>
          <w:p w:rsidR="00DF385E" w:rsidRPr="00DF385E" w:rsidRDefault="00DF385E">
            <w:r w:rsidRPr="00DF385E">
              <w:t>Key Outcomes</w:t>
            </w:r>
          </w:p>
        </w:tc>
      </w:tr>
      <w:tr w:rsidR="00DF385E" w:rsidTr="00AE4B29">
        <w:tc>
          <w:tcPr>
            <w:tcW w:w="9242" w:type="dxa"/>
            <w:gridSpan w:val="3"/>
          </w:tcPr>
          <w:p w:rsidR="00DF385E" w:rsidRDefault="00DF385E" w:rsidP="00F70482">
            <w:pPr>
              <w:numPr>
                <w:ilvl w:val="0"/>
                <w:numId w:val="14"/>
              </w:numPr>
              <w:shd w:val="clear" w:color="auto" w:fill="FFFFFF"/>
              <w:rPr>
                <w:rFonts w:eastAsia="Times New Roman" w:cs="Times New Roman"/>
                <w:color w:val="000000"/>
                <w:lang w:eastAsia="en-GB"/>
              </w:rPr>
            </w:pPr>
            <w:r w:rsidRPr="00DF385E">
              <w:rPr>
                <w:rFonts w:eastAsia="Times New Roman" w:cs="Times New Roman"/>
                <w:bCs/>
                <w:color w:val="000000"/>
                <w:lang w:eastAsia="en-GB"/>
              </w:rPr>
              <w:t>improved life chances for people of all ages, including young people in particular, through learning, personal development and active citizenship</w:t>
            </w:r>
          </w:p>
          <w:p w:rsidR="00DF385E" w:rsidRPr="00DF385E" w:rsidRDefault="00DF385E" w:rsidP="00F70482">
            <w:pPr>
              <w:numPr>
                <w:ilvl w:val="0"/>
                <w:numId w:val="14"/>
              </w:numPr>
              <w:shd w:val="clear" w:color="auto" w:fill="FFFFFF"/>
              <w:rPr>
                <w:rFonts w:eastAsia="Times New Roman" w:cs="Times New Roman"/>
                <w:color w:val="000000"/>
                <w:lang w:eastAsia="en-GB"/>
              </w:rPr>
            </w:pPr>
            <w:r w:rsidRPr="00DF385E">
              <w:rPr>
                <w:rFonts w:eastAsia="Times New Roman" w:cs="Times New Roman"/>
                <w:bCs/>
                <w:color w:val="000000"/>
                <w:lang w:eastAsia="en-GB"/>
              </w:rPr>
              <w:t>stronger, more resilient, supportive, influe</w:t>
            </w:r>
            <w:r w:rsidR="00F70482">
              <w:rPr>
                <w:rFonts w:eastAsia="Times New Roman" w:cs="Times New Roman"/>
                <w:bCs/>
                <w:color w:val="000000"/>
                <w:lang w:eastAsia="en-GB"/>
              </w:rPr>
              <w:t>ntial and inclusive communities</w:t>
            </w:r>
          </w:p>
        </w:tc>
      </w:tr>
      <w:tr w:rsidR="007845A8" w:rsidTr="007845A8">
        <w:tc>
          <w:tcPr>
            <w:tcW w:w="9242" w:type="dxa"/>
            <w:gridSpan w:val="3"/>
            <w:shd w:val="clear" w:color="auto" w:fill="C6D9F1" w:themeFill="text2" w:themeFillTint="33"/>
          </w:tcPr>
          <w:p w:rsidR="007845A8" w:rsidRPr="007845A8" w:rsidRDefault="007845A8" w:rsidP="00D17C7A">
            <w:r w:rsidRPr="007845A8">
              <w:t>All Community Learning and Development Partners should aim to</w:t>
            </w:r>
            <w:r w:rsidR="00DF385E">
              <w:t xml:space="preserve"> deliver CLD outcomes through</w:t>
            </w:r>
            <w:r w:rsidRPr="007845A8">
              <w:t>:</w:t>
            </w:r>
          </w:p>
        </w:tc>
      </w:tr>
      <w:tr w:rsidR="007845A8" w:rsidTr="00F70482">
        <w:trPr>
          <w:trHeight w:val="2836"/>
        </w:trPr>
        <w:tc>
          <w:tcPr>
            <w:tcW w:w="9242" w:type="dxa"/>
            <w:gridSpan w:val="3"/>
          </w:tcPr>
          <w:p w:rsidR="007845A8" w:rsidRPr="007845A8" w:rsidRDefault="007845A8" w:rsidP="00F70482">
            <w:pPr>
              <w:numPr>
                <w:ilvl w:val="0"/>
                <w:numId w:val="11"/>
              </w:numPr>
              <w:spacing w:before="100" w:beforeAutospacing="1"/>
              <w:rPr>
                <w:rFonts w:eastAsia="Times New Roman" w:cs="Times New Roman"/>
                <w:lang w:val="en-US" w:eastAsia="en-GB"/>
              </w:rPr>
            </w:pPr>
            <w:r w:rsidRPr="007845A8">
              <w:rPr>
                <w:rFonts w:eastAsia="Times New Roman" w:cs="Times New Roman"/>
                <w:lang w:val="en-US" w:eastAsia="en-GB"/>
              </w:rPr>
              <w:t>community development (building the capacity of communities to meet their own needs, engaging with and influencing decision makers)</w:t>
            </w:r>
          </w:p>
          <w:p w:rsidR="007845A8" w:rsidRPr="007845A8" w:rsidRDefault="007845A8" w:rsidP="00F70482">
            <w:pPr>
              <w:numPr>
                <w:ilvl w:val="0"/>
                <w:numId w:val="11"/>
              </w:numPr>
              <w:spacing w:before="100" w:beforeAutospacing="1"/>
              <w:rPr>
                <w:rFonts w:eastAsia="Times New Roman" w:cs="Times New Roman"/>
                <w:lang w:val="en-US" w:eastAsia="en-GB"/>
              </w:rPr>
            </w:pPr>
            <w:r w:rsidRPr="007845A8">
              <w:rPr>
                <w:rFonts w:eastAsia="Times New Roman" w:cs="Times New Roman"/>
                <w:lang w:val="en-US" w:eastAsia="en-GB"/>
              </w:rPr>
              <w:t>youth work, family learning and other early intervention work with children, young people and families</w:t>
            </w:r>
          </w:p>
          <w:p w:rsidR="007845A8" w:rsidRPr="007845A8" w:rsidRDefault="007845A8" w:rsidP="00F70482">
            <w:pPr>
              <w:numPr>
                <w:ilvl w:val="0"/>
                <w:numId w:val="11"/>
              </w:numPr>
              <w:spacing w:before="100" w:beforeAutospacing="1"/>
              <w:rPr>
                <w:rFonts w:eastAsia="Times New Roman" w:cs="Times New Roman"/>
                <w:lang w:val="en-US" w:eastAsia="en-GB"/>
              </w:rPr>
            </w:pPr>
            <w:r w:rsidRPr="007845A8">
              <w:rPr>
                <w:rFonts w:eastAsia="Times New Roman" w:cs="Times New Roman"/>
                <w:lang w:val="en-US" w:eastAsia="en-GB"/>
              </w:rPr>
              <w:t>community-based adult learning, including adult literacies and English for speakers of other languages (ESOL)</w:t>
            </w:r>
          </w:p>
          <w:p w:rsidR="007845A8" w:rsidRPr="007845A8" w:rsidRDefault="007845A8" w:rsidP="00F70482">
            <w:pPr>
              <w:numPr>
                <w:ilvl w:val="0"/>
                <w:numId w:val="11"/>
              </w:numPr>
              <w:spacing w:before="100" w:beforeAutospacing="1"/>
              <w:rPr>
                <w:rFonts w:eastAsia="Times New Roman" w:cs="Times New Roman"/>
                <w:lang w:val="en-US" w:eastAsia="en-GB"/>
              </w:rPr>
            </w:pPr>
            <w:r w:rsidRPr="007845A8">
              <w:rPr>
                <w:rFonts w:eastAsia="Times New Roman" w:cs="Times New Roman"/>
                <w:lang w:val="en-US" w:eastAsia="en-GB"/>
              </w:rPr>
              <w:t>volunteer development</w:t>
            </w:r>
          </w:p>
          <w:p w:rsidR="007845A8" w:rsidRPr="007845A8" w:rsidRDefault="007845A8" w:rsidP="00F70482">
            <w:pPr>
              <w:numPr>
                <w:ilvl w:val="0"/>
                <w:numId w:val="11"/>
              </w:numPr>
              <w:spacing w:before="100" w:beforeAutospacing="1"/>
              <w:rPr>
                <w:rFonts w:eastAsia="Times New Roman" w:cs="Times New Roman"/>
                <w:lang w:val="en-US" w:eastAsia="en-GB"/>
              </w:rPr>
            </w:pPr>
            <w:r w:rsidRPr="007845A8">
              <w:rPr>
                <w:rFonts w:eastAsia="Times New Roman" w:cs="Times New Roman"/>
                <w:lang w:val="en-US" w:eastAsia="en-GB"/>
              </w:rPr>
              <w:t>learning for vulnerable and disadvantaged groups in the community, for example,</w:t>
            </w:r>
            <w:r>
              <w:rPr>
                <w:rFonts w:eastAsia="Times New Roman" w:cs="Times New Roman"/>
                <w:lang w:val="en-US" w:eastAsia="en-GB"/>
              </w:rPr>
              <w:t xml:space="preserve"> </w:t>
            </w:r>
            <w:r w:rsidRPr="007845A8">
              <w:rPr>
                <w:rFonts w:eastAsia="Times New Roman" w:cs="Times New Roman"/>
                <w:lang w:val="en-US" w:eastAsia="en-GB"/>
              </w:rPr>
              <w:t>people with disabilities, care leavers or offenders</w:t>
            </w:r>
          </w:p>
          <w:p w:rsidR="007845A8" w:rsidRPr="007845A8" w:rsidRDefault="007845A8" w:rsidP="00F70482">
            <w:pPr>
              <w:numPr>
                <w:ilvl w:val="0"/>
                <w:numId w:val="11"/>
              </w:numPr>
              <w:spacing w:before="100" w:beforeAutospacing="1"/>
              <w:rPr>
                <w:rFonts w:ascii="Times New Roman" w:eastAsia="Times New Roman" w:hAnsi="Times New Roman" w:cs="Times New Roman"/>
                <w:sz w:val="21"/>
                <w:szCs w:val="21"/>
                <w:lang w:val="en-US" w:eastAsia="en-GB"/>
              </w:rPr>
            </w:pPr>
            <w:r w:rsidRPr="007845A8">
              <w:rPr>
                <w:rFonts w:eastAsia="Times New Roman" w:cs="Times New Roman"/>
                <w:lang w:val="en-US" w:eastAsia="en-GB"/>
              </w:rPr>
              <w:t>learning suppor</w:t>
            </w:r>
            <w:r>
              <w:rPr>
                <w:rFonts w:eastAsia="Times New Roman" w:cs="Times New Roman"/>
                <w:lang w:val="en-US" w:eastAsia="en-GB"/>
              </w:rPr>
              <w:t>t and guidance in the community</w:t>
            </w:r>
          </w:p>
        </w:tc>
      </w:tr>
      <w:tr w:rsidR="00261E17" w:rsidTr="00D17C7A">
        <w:tc>
          <w:tcPr>
            <w:tcW w:w="9242" w:type="dxa"/>
            <w:gridSpan w:val="3"/>
            <w:shd w:val="clear" w:color="auto" w:fill="C6D9F1" w:themeFill="text2" w:themeFillTint="33"/>
          </w:tcPr>
          <w:p w:rsidR="007845A8" w:rsidRDefault="007845A8" w:rsidP="00D17C7A">
            <w:r>
              <w:t>Principles of Community Learning and Development</w:t>
            </w:r>
          </w:p>
          <w:p w:rsidR="00261E17" w:rsidRDefault="00261E17" w:rsidP="007845A8">
            <w:pPr>
              <w:pStyle w:val="ListParagraph"/>
              <w:numPr>
                <w:ilvl w:val="0"/>
                <w:numId w:val="12"/>
              </w:numPr>
            </w:pPr>
            <w:r>
              <w:t>Staff involved in the delivery, development and management of CLD will be encouraged to register with the CLD Standards to further promote the CLD Principles and to support the professional development of staff.</w:t>
            </w:r>
          </w:p>
        </w:tc>
      </w:tr>
      <w:tr w:rsidR="00261E17" w:rsidTr="00D17C7A">
        <w:tc>
          <w:tcPr>
            <w:tcW w:w="392" w:type="dxa"/>
          </w:tcPr>
          <w:p w:rsidR="00261E17" w:rsidRDefault="00261E17" w:rsidP="00D17C7A">
            <w:r>
              <w:t>1</w:t>
            </w:r>
          </w:p>
        </w:tc>
        <w:tc>
          <w:tcPr>
            <w:tcW w:w="3260" w:type="dxa"/>
          </w:tcPr>
          <w:p w:rsidR="00261E17" w:rsidRPr="00F966F0" w:rsidRDefault="00261E17" w:rsidP="00D17C7A">
            <w:pPr>
              <w:spacing w:after="200" w:line="276" w:lineRule="auto"/>
            </w:pPr>
            <w:r w:rsidRPr="00F966F0">
              <w:t xml:space="preserve">Self-determination </w:t>
            </w:r>
          </w:p>
          <w:p w:rsidR="00261E17" w:rsidRDefault="00261E17" w:rsidP="00D17C7A"/>
        </w:tc>
        <w:tc>
          <w:tcPr>
            <w:tcW w:w="5590" w:type="dxa"/>
          </w:tcPr>
          <w:p w:rsidR="00261E17" w:rsidRDefault="00261E17" w:rsidP="00D17C7A">
            <w:pPr>
              <w:spacing w:after="200" w:line="276" w:lineRule="auto"/>
            </w:pPr>
            <w:r>
              <w:t>R</w:t>
            </w:r>
            <w:r w:rsidRPr="00F966F0">
              <w:t>especting the individual and valuing the right of people to make their own choices</w:t>
            </w:r>
          </w:p>
        </w:tc>
      </w:tr>
      <w:tr w:rsidR="00261E17" w:rsidTr="00D17C7A">
        <w:tc>
          <w:tcPr>
            <w:tcW w:w="392" w:type="dxa"/>
          </w:tcPr>
          <w:p w:rsidR="00261E17" w:rsidRDefault="00261E17" w:rsidP="00D17C7A">
            <w:r>
              <w:t>2</w:t>
            </w:r>
          </w:p>
        </w:tc>
        <w:tc>
          <w:tcPr>
            <w:tcW w:w="3260" w:type="dxa"/>
          </w:tcPr>
          <w:p w:rsidR="00261E17" w:rsidRDefault="00261E17" w:rsidP="00D17C7A">
            <w:r>
              <w:t>Inclusion</w:t>
            </w:r>
          </w:p>
        </w:tc>
        <w:tc>
          <w:tcPr>
            <w:tcW w:w="5590" w:type="dxa"/>
          </w:tcPr>
          <w:p w:rsidR="00261E17" w:rsidRDefault="00261E17" w:rsidP="00D17C7A">
            <w:r>
              <w:t>V</w:t>
            </w:r>
            <w:r w:rsidRPr="00F966F0">
              <w:t>aluing equality of both opportunity and outcome, and challenging discriminatory practice</w:t>
            </w:r>
          </w:p>
        </w:tc>
      </w:tr>
      <w:tr w:rsidR="00261E17" w:rsidTr="00D17C7A">
        <w:tc>
          <w:tcPr>
            <w:tcW w:w="392" w:type="dxa"/>
          </w:tcPr>
          <w:p w:rsidR="00261E17" w:rsidRDefault="00261E17" w:rsidP="00D17C7A">
            <w:r>
              <w:lastRenderedPageBreak/>
              <w:t>3</w:t>
            </w:r>
          </w:p>
        </w:tc>
        <w:tc>
          <w:tcPr>
            <w:tcW w:w="3260" w:type="dxa"/>
          </w:tcPr>
          <w:p w:rsidR="00261E17" w:rsidRDefault="00261E17" w:rsidP="00D17C7A">
            <w:r>
              <w:t>Empowerment</w:t>
            </w:r>
          </w:p>
        </w:tc>
        <w:tc>
          <w:tcPr>
            <w:tcW w:w="5590" w:type="dxa"/>
          </w:tcPr>
          <w:p w:rsidR="00261E17" w:rsidRDefault="00261E17" w:rsidP="00D17C7A">
            <w:r>
              <w:t>I</w:t>
            </w:r>
            <w:r w:rsidRPr="00F966F0">
              <w:t>ncreasing the ability of individuals and groups to influence issues that affect them and their communities through individual and/ or collective action</w:t>
            </w:r>
          </w:p>
        </w:tc>
      </w:tr>
      <w:tr w:rsidR="00261E17" w:rsidTr="00D17C7A">
        <w:tc>
          <w:tcPr>
            <w:tcW w:w="392" w:type="dxa"/>
          </w:tcPr>
          <w:p w:rsidR="00261E17" w:rsidRDefault="00261E17" w:rsidP="00D17C7A">
            <w:r>
              <w:t>4</w:t>
            </w:r>
          </w:p>
        </w:tc>
        <w:tc>
          <w:tcPr>
            <w:tcW w:w="3260" w:type="dxa"/>
          </w:tcPr>
          <w:p w:rsidR="00261E17" w:rsidRDefault="00261E17" w:rsidP="00D17C7A">
            <w:r>
              <w:t>Working Collaboratively</w:t>
            </w:r>
          </w:p>
        </w:tc>
        <w:tc>
          <w:tcPr>
            <w:tcW w:w="5590" w:type="dxa"/>
          </w:tcPr>
          <w:p w:rsidR="00261E17" w:rsidRDefault="00261E17" w:rsidP="00D17C7A">
            <w:r>
              <w:t>M</w:t>
            </w:r>
            <w:r w:rsidRPr="00F966F0">
              <w:t>aximising collaborative working relationships with the many agencies which contribute to CLD and/or which CLD contributes to, including collaborative work with participants, learners and communities</w:t>
            </w:r>
          </w:p>
        </w:tc>
      </w:tr>
      <w:tr w:rsidR="00261E17" w:rsidTr="00D17C7A">
        <w:tc>
          <w:tcPr>
            <w:tcW w:w="392" w:type="dxa"/>
          </w:tcPr>
          <w:p w:rsidR="00261E17" w:rsidRDefault="00261E17" w:rsidP="00D17C7A">
            <w:r>
              <w:t>5</w:t>
            </w:r>
          </w:p>
        </w:tc>
        <w:tc>
          <w:tcPr>
            <w:tcW w:w="3260" w:type="dxa"/>
          </w:tcPr>
          <w:p w:rsidR="00261E17" w:rsidRDefault="00261E17" w:rsidP="00D17C7A">
            <w:r>
              <w:t>Promotion of Learning as Lifelong Learning Activity</w:t>
            </w:r>
          </w:p>
        </w:tc>
        <w:tc>
          <w:tcPr>
            <w:tcW w:w="5590" w:type="dxa"/>
          </w:tcPr>
          <w:p w:rsidR="00261E17" w:rsidRPr="00F966F0" w:rsidRDefault="00261E17" w:rsidP="00D17C7A">
            <w:pPr>
              <w:spacing w:after="200" w:line="276" w:lineRule="auto"/>
            </w:pPr>
            <w:r>
              <w:t>E</w:t>
            </w:r>
            <w:r w:rsidRPr="00F966F0">
              <w:t>nsuring that individuals are aware of a range of learning opportunities and are able to access relevant options at any stage of their life</w:t>
            </w:r>
          </w:p>
          <w:p w:rsidR="00261E17" w:rsidRDefault="00261E17" w:rsidP="00D17C7A"/>
        </w:tc>
      </w:tr>
    </w:tbl>
    <w:p w:rsidR="00261E17" w:rsidRDefault="00261E17">
      <w:pPr>
        <w:rPr>
          <w:b/>
        </w:rPr>
      </w:pPr>
    </w:p>
    <w:p w:rsidR="007845A8" w:rsidRDefault="007845A8">
      <w:pPr>
        <w:rPr>
          <w:b/>
        </w:rPr>
      </w:pPr>
    </w:p>
    <w:p w:rsidR="007845A8" w:rsidRDefault="007845A8">
      <w:pPr>
        <w:rPr>
          <w:b/>
        </w:rPr>
      </w:pPr>
    </w:p>
    <w:tbl>
      <w:tblPr>
        <w:tblStyle w:val="TableGrid"/>
        <w:tblW w:w="0" w:type="auto"/>
        <w:tblLook w:val="04A0" w:firstRow="1" w:lastRow="0" w:firstColumn="1" w:lastColumn="0" w:noHBand="0" w:noVBand="1"/>
      </w:tblPr>
      <w:tblGrid>
        <w:gridCol w:w="9242"/>
      </w:tblGrid>
      <w:tr w:rsidR="006B6D92" w:rsidTr="00A92983">
        <w:tc>
          <w:tcPr>
            <w:tcW w:w="9242" w:type="dxa"/>
            <w:shd w:val="clear" w:color="auto" w:fill="C6D9F1" w:themeFill="text2" w:themeFillTint="33"/>
          </w:tcPr>
          <w:p w:rsidR="006B6D92" w:rsidRDefault="006B6D92" w:rsidP="00261E17">
            <w:r>
              <w:t xml:space="preserve">Section </w:t>
            </w:r>
            <w:r w:rsidR="00261E17">
              <w:t>2</w:t>
            </w:r>
            <w:r>
              <w:t xml:space="preserve">:  Purpose and Scope </w:t>
            </w:r>
          </w:p>
        </w:tc>
      </w:tr>
      <w:tr w:rsidR="006B6D92" w:rsidTr="006B6D92">
        <w:tc>
          <w:tcPr>
            <w:tcW w:w="9242" w:type="dxa"/>
          </w:tcPr>
          <w:p w:rsidR="008E0F70" w:rsidRPr="002A2DAD" w:rsidRDefault="008E0F70">
            <w:r w:rsidRPr="002A2DAD">
              <w:t xml:space="preserve">The </w:t>
            </w:r>
            <w:r w:rsidR="00EC3DAB">
              <w:t xml:space="preserve">Glasgow Community Learning and Development Strategic Partnership </w:t>
            </w:r>
            <w:r w:rsidR="0001589C" w:rsidRPr="002A2DAD">
              <w:t>(</w:t>
            </w:r>
            <w:r w:rsidR="00EC3DAB">
              <w:t>GCLDSP</w:t>
            </w:r>
            <w:r w:rsidR="0001589C" w:rsidRPr="002A2DAD">
              <w:t>)</w:t>
            </w:r>
            <w:r w:rsidRPr="002A2DAD">
              <w:t xml:space="preserve"> has a key responsibility for:</w:t>
            </w:r>
          </w:p>
          <w:p w:rsidR="00CC1F1D" w:rsidRPr="002A2DAD" w:rsidRDefault="00CC1F1D" w:rsidP="003327DD">
            <w:pPr>
              <w:pStyle w:val="ListParagraph"/>
              <w:numPr>
                <w:ilvl w:val="0"/>
                <w:numId w:val="10"/>
              </w:numPr>
            </w:pPr>
            <w:r w:rsidRPr="002A2DAD">
              <w:t>the strategic leadership and direction of Community Learning and Development (CLD) in the city which includes provision for</w:t>
            </w:r>
            <w:r w:rsidR="00305968" w:rsidRPr="002A2DAD">
              <w:t xml:space="preserve"> children, young people, adults, </w:t>
            </w:r>
            <w:r w:rsidRPr="002A2DAD">
              <w:t>families</w:t>
            </w:r>
            <w:r w:rsidR="00305968" w:rsidRPr="002A2DAD">
              <w:t xml:space="preserve"> and communities</w:t>
            </w:r>
          </w:p>
          <w:p w:rsidR="00CC1F1D" w:rsidRPr="002A2DAD" w:rsidRDefault="00CC1F1D" w:rsidP="003327DD">
            <w:pPr>
              <w:pStyle w:val="ListParagraph"/>
              <w:numPr>
                <w:ilvl w:val="0"/>
                <w:numId w:val="10"/>
              </w:numPr>
            </w:pPr>
            <w:r w:rsidRPr="002A2DAD">
              <w:t>working collaboratively to identify and address the scale, scope and reach of need and demand for CLD in the city</w:t>
            </w:r>
          </w:p>
          <w:p w:rsidR="00CC1F1D" w:rsidRPr="002A2DAD" w:rsidRDefault="00CC1F1D" w:rsidP="003327DD">
            <w:pPr>
              <w:pStyle w:val="ListParagraph"/>
              <w:numPr>
                <w:ilvl w:val="0"/>
                <w:numId w:val="10"/>
              </w:numPr>
            </w:pPr>
            <w:r w:rsidRPr="002A2DAD">
              <w:t>identifying and addressing barriers to access and participation of CLD and volunteering including early intervention and targeting within a CLD context</w:t>
            </w:r>
          </w:p>
          <w:p w:rsidR="006B6D92" w:rsidRPr="002A2DAD" w:rsidRDefault="00CC1F1D" w:rsidP="003327DD">
            <w:pPr>
              <w:pStyle w:val="ListParagraph"/>
              <w:numPr>
                <w:ilvl w:val="0"/>
                <w:numId w:val="10"/>
              </w:numPr>
            </w:pPr>
            <w:r w:rsidRPr="002A2DAD">
              <w:t>working collaboratively to develop and implement</w:t>
            </w:r>
            <w:r w:rsidR="008E0F70" w:rsidRPr="002A2DAD">
              <w:t xml:space="preserve"> the city’s </w:t>
            </w:r>
            <w:r w:rsidRPr="002A2DAD">
              <w:t>CLD Plans</w:t>
            </w:r>
          </w:p>
          <w:p w:rsidR="0001589C" w:rsidRPr="002A2DAD" w:rsidRDefault="0001589C" w:rsidP="003327DD">
            <w:pPr>
              <w:pStyle w:val="ListParagraph"/>
              <w:numPr>
                <w:ilvl w:val="0"/>
                <w:numId w:val="10"/>
              </w:numPr>
            </w:pPr>
            <w:r w:rsidRPr="002A2DAD">
              <w:t>supporting workforce</w:t>
            </w:r>
            <w:r w:rsidR="00CC1F1D" w:rsidRPr="002A2DAD">
              <w:t xml:space="preserve"> (including volunteering)</w:t>
            </w:r>
            <w:r w:rsidRPr="002A2DAD">
              <w:t xml:space="preserve"> development which enhances the CLD offer across partners</w:t>
            </w:r>
          </w:p>
          <w:p w:rsidR="008502D4" w:rsidRPr="002A2DAD" w:rsidRDefault="00CC1F1D" w:rsidP="003327DD">
            <w:pPr>
              <w:pStyle w:val="ListParagraph"/>
              <w:numPr>
                <w:ilvl w:val="0"/>
                <w:numId w:val="10"/>
              </w:numPr>
            </w:pPr>
            <w:r w:rsidRPr="002A2DAD">
              <w:t>raising the profile</w:t>
            </w:r>
            <w:r w:rsidR="00261E17" w:rsidRPr="002A2DAD">
              <w:t>, importance and value</w:t>
            </w:r>
            <w:r w:rsidRPr="002A2DAD">
              <w:t xml:space="preserve"> of CLD in the city</w:t>
            </w:r>
            <w:r w:rsidR="00261E17" w:rsidRPr="002A2DAD">
              <w:t xml:space="preserve"> </w:t>
            </w:r>
            <w:r w:rsidR="003327DD" w:rsidRPr="002A2DAD">
              <w:t>particularly to other sectors</w:t>
            </w:r>
          </w:p>
          <w:p w:rsidR="003B63B1" w:rsidRPr="002A2DAD" w:rsidRDefault="008502D4" w:rsidP="003327DD">
            <w:pPr>
              <w:pStyle w:val="ListParagraph"/>
              <w:numPr>
                <w:ilvl w:val="0"/>
                <w:numId w:val="10"/>
              </w:numPr>
            </w:pPr>
            <w:r w:rsidRPr="002A2DAD">
              <w:t xml:space="preserve">promoting </w:t>
            </w:r>
            <w:r w:rsidR="00CC1F1D" w:rsidRPr="002A2DAD">
              <w:t xml:space="preserve">lifelong learning and </w:t>
            </w:r>
            <w:r w:rsidR="0001589C" w:rsidRPr="002A2DAD">
              <w:t>quality assurance through the Glasgow’s Learning brand and logo</w:t>
            </w:r>
          </w:p>
          <w:p w:rsidR="00305968" w:rsidRPr="002A2DAD" w:rsidRDefault="002A2DAD" w:rsidP="003327DD">
            <w:pPr>
              <w:pStyle w:val="ListParagraph"/>
              <w:numPr>
                <w:ilvl w:val="0"/>
                <w:numId w:val="10"/>
              </w:numPr>
            </w:pPr>
            <w:r w:rsidRPr="002A2DAD">
              <w:t>working collaboratively to ensure a wide range of relevant high quality CLD opportunities which in turn foster inclusive growth in the city</w:t>
            </w:r>
          </w:p>
          <w:p w:rsidR="00305968" w:rsidRDefault="00305968" w:rsidP="002A2DAD">
            <w:pPr>
              <w:pStyle w:val="ListParagraph"/>
              <w:numPr>
                <w:ilvl w:val="0"/>
                <w:numId w:val="10"/>
              </w:numPr>
            </w:pPr>
            <w:r w:rsidRPr="002A2DAD">
              <w:t>influenc</w:t>
            </w:r>
            <w:r w:rsidR="002A2DAD" w:rsidRPr="002A2DAD">
              <w:t>ing, shaping and contributing to broader city and national policies and strategies and ensuring that CLD is embedded in these</w:t>
            </w:r>
          </w:p>
        </w:tc>
      </w:tr>
    </w:tbl>
    <w:p w:rsidR="006B6D92" w:rsidRDefault="006B6D92"/>
    <w:tbl>
      <w:tblPr>
        <w:tblStyle w:val="TableGrid"/>
        <w:tblW w:w="0" w:type="auto"/>
        <w:tblLook w:val="04A0" w:firstRow="1" w:lastRow="0" w:firstColumn="1" w:lastColumn="0" w:noHBand="0" w:noVBand="1"/>
      </w:tblPr>
      <w:tblGrid>
        <w:gridCol w:w="9242"/>
      </w:tblGrid>
      <w:tr w:rsidR="007845A8" w:rsidTr="007845A8">
        <w:tc>
          <w:tcPr>
            <w:tcW w:w="9242" w:type="dxa"/>
            <w:shd w:val="clear" w:color="auto" w:fill="C6D9F1" w:themeFill="text2" w:themeFillTint="33"/>
          </w:tcPr>
          <w:p w:rsidR="007845A8" w:rsidRDefault="007845A8" w:rsidP="007845A8">
            <w:r>
              <w:t>Section 3:  Approach</w:t>
            </w:r>
          </w:p>
        </w:tc>
      </w:tr>
      <w:tr w:rsidR="007845A8" w:rsidTr="007845A8">
        <w:tc>
          <w:tcPr>
            <w:tcW w:w="9242" w:type="dxa"/>
          </w:tcPr>
          <w:p w:rsidR="0029495B" w:rsidRPr="002A2DAD" w:rsidRDefault="0029495B" w:rsidP="0029495B">
            <w:pPr>
              <w:pStyle w:val="ListParagraph"/>
              <w:numPr>
                <w:ilvl w:val="0"/>
                <w:numId w:val="13"/>
              </w:numPr>
            </w:pPr>
            <w:r w:rsidRPr="002A2DAD">
              <w:t>Upholding the ethos and principles of CLD</w:t>
            </w:r>
          </w:p>
          <w:p w:rsidR="007845A8" w:rsidRPr="002A2DAD" w:rsidRDefault="007845A8" w:rsidP="0029495B">
            <w:pPr>
              <w:pStyle w:val="ListParagraph"/>
              <w:numPr>
                <w:ilvl w:val="0"/>
                <w:numId w:val="13"/>
              </w:numPr>
            </w:pPr>
            <w:r w:rsidRPr="002A2DAD">
              <w:t xml:space="preserve">Supporting collaborative approaches to improve the range, quality and impact of CLD </w:t>
            </w:r>
          </w:p>
          <w:p w:rsidR="007845A8" w:rsidRPr="002A2DAD" w:rsidRDefault="007845A8" w:rsidP="0029495B">
            <w:pPr>
              <w:pStyle w:val="ListParagraph"/>
              <w:numPr>
                <w:ilvl w:val="0"/>
                <w:numId w:val="13"/>
              </w:numPr>
            </w:pPr>
            <w:r w:rsidRPr="002A2DAD">
              <w:t xml:space="preserve">Sharing information, data and practice across </w:t>
            </w:r>
            <w:r w:rsidR="009648B4" w:rsidRPr="002A2DAD">
              <w:t>sectors and partners</w:t>
            </w:r>
            <w:r w:rsidRPr="002A2DAD">
              <w:t xml:space="preserve"> to </w:t>
            </w:r>
            <w:r w:rsidR="009648B4" w:rsidRPr="002A2DAD">
              <w:t xml:space="preserve">understand and </w:t>
            </w:r>
            <w:r w:rsidRPr="002A2DAD">
              <w:t>enhance the CLD offer</w:t>
            </w:r>
          </w:p>
          <w:p w:rsidR="007845A8" w:rsidRPr="002A2DAD" w:rsidRDefault="009648B4" w:rsidP="0029495B">
            <w:pPr>
              <w:pStyle w:val="ListParagraph"/>
              <w:numPr>
                <w:ilvl w:val="0"/>
                <w:numId w:val="13"/>
              </w:numPr>
            </w:pPr>
            <w:r w:rsidRPr="002A2DAD">
              <w:lastRenderedPageBreak/>
              <w:t>Consulting with</w:t>
            </w:r>
            <w:r w:rsidR="001720CC" w:rsidRPr="002A2DAD">
              <w:t xml:space="preserve"> and feeding back to</w:t>
            </w:r>
            <w:r w:rsidRPr="002A2DAD">
              <w:t xml:space="preserve"> key stakeholders including learners to ensure CLD is relevant and meaningful</w:t>
            </w:r>
          </w:p>
          <w:p w:rsidR="009648B4" w:rsidRPr="002A2DAD" w:rsidRDefault="009648B4" w:rsidP="0029495B">
            <w:pPr>
              <w:pStyle w:val="ListParagraph"/>
              <w:numPr>
                <w:ilvl w:val="0"/>
                <w:numId w:val="13"/>
              </w:numPr>
            </w:pPr>
            <w:r w:rsidRPr="002A2DAD">
              <w:t>Focussing on evidence, quality and impact to ensure CLD is meeting the needs of individuals and communities</w:t>
            </w:r>
          </w:p>
          <w:p w:rsidR="009648B4" w:rsidRPr="002A2DAD" w:rsidRDefault="009648B4" w:rsidP="0029495B">
            <w:pPr>
              <w:pStyle w:val="ListParagraph"/>
              <w:numPr>
                <w:ilvl w:val="0"/>
                <w:numId w:val="13"/>
              </w:numPr>
            </w:pPr>
            <w:r w:rsidRPr="002A2DAD">
              <w:t>Promoting asset based approaches to CLD</w:t>
            </w:r>
            <w:r w:rsidR="00B554D3" w:rsidRPr="002A2DAD">
              <w:t xml:space="preserve"> in the city</w:t>
            </w:r>
          </w:p>
          <w:p w:rsidR="009648B4" w:rsidRPr="002A2DAD" w:rsidRDefault="009648B4" w:rsidP="0029495B">
            <w:pPr>
              <w:pStyle w:val="ListParagraph"/>
              <w:numPr>
                <w:ilvl w:val="0"/>
                <w:numId w:val="13"/>
              </w:numPr>
            </w:pPr>
            <w:r w:rsidRPr="002A2DAD">
              <w:t>Working together to ensure the best allocation of resources and capacity to address the scale of need in the city</w:t>
            </w:r>
          </w:p>
          <w:p w:rsidR="009648B4" w:rsidRPr="002A2DAD" w:rsidRDefault="009648B4" w:rsidP="0029495B">
            <w:pPr>
              <w:pStyle w:val="ListParagraph"/>
              <w:numPr>
                <w:ilvl w:val="0"/>
                <w:numId w:val="13"/>
              </w:numPr>
            </w:pPr>
            <w:r w:rsidRPr="002A2DAD">
              <w:t>Working collaboratively to improve access to CLD, ensure inclusive approaches and tackle barriers to engagement and participation</w:t>
            </w:r>
          </w:p>
          <w:p w:rsidR="001720CC" w:rsidRPr="002A2DAD" w:rsidRDefault="001720CC" w:rsidP="0029495B">
            <w:pPr>
              <w:pStyle w:val="ListParagraph"/>
              <w:numPr>
                <w:ilvl w:val="0"/>
                <w:numId w:val="13"/>
              </w:numPr>
            </w:pPr>
            <w:r w:rsidRPr="002A2DAD">
              <w:t>Ensuring key national CLD policies and city strategies underpin the strategic leadership of CLD in the city</w:t>
            </w:r>
          </w:p>
          <w:p w:rsidR="00F848B5" w:rsidRPr="002A2DAD" w:rsidRDefault="00F848B5" w:rsidP="0029495B">
            <w:pPr>
              <w:pStyle w:val="ListParagraph"/>
              <w:numPr>
                <w:ilvl w:val="0"/>
                <w:numId w:val="13"/>
              </w:numPr>
            </w:pPr>
            <w:r w:rsidRPr="002A2DAD">
              <w:t>Ensuring the CLD informs and shapes other policies and strategies and approaches in the city</w:t>
            </w:r>
          </w:p>
          <w:p w:rsidR="00674961" w:rsidRPr="002A2DAD" w:rsidRDefault="00674961" w:rsidP="0029495B">
            <w:pPr>
              <w:pStyle w:val="ListParagraph"/>
              <w:numPr>
                <w:ilvl w:val="0"/>
                <w:numId w:val="13"/>
              </w:numPr>
            </w:pPr>
            <w:r w:rsidRPr="002A2DAD">
              <w:t>Supporting achievement, attainment, progression of learners</w:t>
            </w:r>
            <w:r w:rsidR="002A2DAD" w:rsidRPr="002A2DAD">
              <w:t xml:space="preserve"> through a wide range of high quality opportunities and by working collaboratively to improve learner journeys and progression</w:t>
            </w:r>
          </w:p>
          <w:p w:rsidR="002E4A54" w:rsidRPr="002A2DAD" w:rsidRDefault="002A2DAD" w:rsidP="0029495B">
            <w:pPr>
              <w:pStyle w:val="ListParagraph"/>
              <w:numPr>
                <w:ilvl w:val="0"/>
                <w:numId w:val="13"/>
              </w:numPr>
            </w:pPr>
            <w:r w:rsidRPr="002A2DAD">
              <w:t>Ensuring</w:t>
            </w:r>
            <w:r w:rsidR="002E4A54" w:rsidRPr="002A2DAD">
              <w:t xml:space="preserve"> learner</w:t>
            </w:r>
            <w:r w:rsidRPr="002A2DAD">
              <w:t>s</w:t>
            </w:r>
            <w:r w:rsidR="002E4A54" w:rsidRPr="002A2DAD">
              <w:t xml:space="preserve"> at the centre</w:t>
            </w:r>
            <w:r w:rsidRPr="002A2DAD">
              <w:t xml:space="preserve"> of Glasgow’s CLD Planning, Development and Delivery</w:t>
            </w:r>
          </w:p>
          <w:p w:rsidR="00F848B5" w:rsidRPr="002A2DAD" w:rsidRDefault="002E4A54" w:rsidP="00F848B5">
            <w:pPr>
              <w:pStyle w:val="ListParagraph"/>
              <w:numPr>
                <w:ilvl w:val="0"/>
                <w:numId w:val="13"/>
              </w:numPr>
            </w:pPr>
            <w:r w:rsidRPr="002A2DAD">
              <w:t xml:space="preserve">Advocating for and promoting the value of CLD across </w:t>
            </w:r>
            <w:r w:rsidR="002A2DAD" w:rsidRPr="002A2DAD">
              <w:t>a range of partnerships, networks and sectors</w:t>
            </w:r>
          </w:p>
          <w:p w:rsidR="00A0626E" w:rsidRDefault="001720CC" w:rsidP="0029495B">
            <w:pPr>
              <w:pStyle w:val="ListParagraph"/>
              <w:numPr>
                <w:ilvl w:val="0"/>
                <w:numId w:val="13"/>
              </w:numPr>
            </w:pPr>
            <w:r w:rsidRPr="002A2DAD">
              <w:t xml:space="preserve">Committing to evaluating the </w:t>
            </w:r>
            <w:r w:rsidR="00A0626E" w:rsidRPr="002A2DAD">
              <w:t xml:space="preserve">effectiveness of the </w:t>
            </w:r>
            <w:r w:rsidR="00EC3DAB">
              <w:t>Glasgow Community Learning and Development Strategic Partnership</w:t>
            </w:r>
          </w:p>
        </w:tc>
      </w:tr>
    </w:tbl>
    <w:p w:rsidR="007845A8" w:rsidRDefault="007845A8"/>
    <w:p w:rsidR="006B6D92" w:rsidRDefault="00A0626E">
      <w:r>
        <w:t>S</w:t>
      </w:r>
      <w:r w:rsidR="006B6D92">
        <w:t xml:space="preserve">ection </w:t>
      </w:r>
      <w:r>
        <w:t>4</w:t>
      </w:r>
      <w:r w:rsidR="006B6D92">
        <w:t>:  Membership</w:t>
      </w:r>
    </w:p>
    <w:tbl>
      <w:tblPr>
        <w:tblStyle w:val="TableGrid"/>
        <w:tblW w:w="0" w:type="auto"/>
        <w:tblLook w:val="04A0" w:firstRow="1" w:lastRow="0" w:firstColumn="1" w:lastColumn="0" w:noHBand="0" w:noVBand="1"/>
      </w:tblPr>
      <w:tblGrid>
        <w:gridCol w:w="3080"/>
        <w:gridCol w:w="3081"/>
        <w:gridCol w:w="3081"/>
      </w:tblGrid>
      <w:tr w:rsidR="006B6D92" w:rsidTr="00A92983">
        <w:tc>
          <w:tcPr>
            <w:tcW w:w="3080" w:type="dxa"/>
            <w:shd w:val="clear" w:color="auto" w:fill="C6D9F1" w:themeFill="text2" w:themeFillTint="33"/>
          </w:tcPr>
          <w:p w:rsidR="006B6D92" w:rsidRDefault="00A92983">
            <w:r>
              <w:t>Organisation</w:t>
            </w:r>
          </w:p>
        </w:tc>
        <w:tc>
          <w:tcPr>
            <w:tcW w:w="3081" w:type="dxa"/>
            <w:shd w:val="clear" w:color="auto" w:fill="C6D9F1" w:themeFill="text2" w:themeFillTint="33"/>
          </w:tcPr>
          <w:p w:rsidR="006B6D92" w:rsidRDefault="00A92983">
            <w:r>
              <w:t>Members</w:t>
            </w:r>
          </w:p>
        </w:tc>
        <w:tc>
          <w:tcPr>
            <w:tcW w:w="3081" w:type="dxa"/>
            <w:shd w:val="clear" w:color="auto" w:fill="C6D9F1" w:themeFill="text2" w:themeFillTint="33"/>
          </w:tcPr>
          <w:p w:rsidR="006B6D92" w:rsidRDefault="006B6D92">
            <w:r>
              <w:t>Role</w:t>
            </w:r>
          </w:p>
        </w:tc>
      </w:tr>
      <w:tr w:rsidR="00F6509D" w:rsidTr="00F6509D">
        <w:tc>
          <w:tcPr>
            <w:tcW w:w="3080" w:type="dxa"/>
            <w:shd w:val="clear" w:color="auto" w:fill="auto"/>
          </w:tcPr>
          <w:p w:rsidR="00F6509D" w:rsidRDefault="00F6509D">
            <w:r>
              <w:t>Community Justice Authority</w:t>
            </w:r>
          </w:p>
        </w:tc>
        <w:tc>
          <w:tcPr>
            <w:tcW w:w="3081" w:type="dxa"/>
            <w:shd w:val="clear" w:color="auto" w:fill="auto"/>
          </w:tcPr>
          <w:p w:rsidR="00F6509D" w:rsidRDefault="00F6509D">
            <w:r>
              <w:t>Margaret Smith</w:t>
            </w:r>
          </w:p>
        </w:tc>
        <w:tc>
          <w:tcPr>
            <w:tcW w:w="3081" w:type="dxa"/>
            <w:shd w:val="clear" w:color="auto" w:fill="auto"/>
          </w:tcPr>
          <w:p w:rsidR="00F6509D" w:rsidRDefault="00FB10F0">
            <w:r>
              <w:t>Member</w:t>
            </w:r>
          </w:p>
        </w:tc>
      </w:tr>
      <w:tr w:rsidR="00BA0278" w:rsidTr="00BA0278">
        <w:tc>
          <w:tcPr>
            <w:tcW w:w="3080" w:type="dxa"/>
            <w:shd w:val="clear" w:color="auto" w:fill="F79646" w:themeFill="accent6"/>
          </w:tcPr>
          <w:p w:rsidR="00BA0278" w:rsidRDefault="00BA0278">
            <w:r>
              <w:t>Department of Work and Pensions (DWP)</w:t>
            </w:r>
          </w:p>
        </w:tc>
        <w:tc>
          <w:tcPr>
            <w:tcW w:w="3081" w:type="dxa"/>
            <w:shd w:val="clear" w:color="auto" w:fill="F79646" w:themeFill="accent6"/>
          </w:tcPr>
          <w:p w:rsidR="00BA0278" w:rsidRDefault="008C5892">
            <w:r>
              <w:t>Invite sent</w:t>
            </w:r>
          </w:p>
        </w:tc>
        <w:tc>
          <w:tcPr>
            <w:tcW w:w="3081" w:type="dxa"/>
            <w:shd w:val="clear" w:color="auto" w:fill="F79646" w:themeFill="accent6"/>
          </w:tcPr>
          <w:p w:rsidR="00BA0278" w:rsidRDefault="008C5892">
            <w:r>
              <w:t>Invite sent</w:t>
            </w:r>
          </w:p>
        </w:tc>
      </w:tr>
      <w:tr w:rsidR="00261E17" w:rsidTr="006B6D92">
        <w:tc>
          <w:tcPr>
            <w:tcW w:w="3080" w:type="dxa"/>
            <w:vMerge w:val="restart"/>
          </w:tcPr>
          <w:p w:rsidR="00261E17" w:rsidRDefault="00261E17">
            <w:r>
              <w:t>Glasgow Life (GL)</w:t>
            </w:r>
          </w:p>
        </w:tc>
        <w:tc>
          <w:tcPr>
            <w:tcW w:w="3081" w:type="dxa"/>
          </w:tcPr>
          <w:p w:rsidR="00261E17" w:rsidRDefault="00261E17">
            <w:r>
              <w:t>Jill Miller, Director of Culture</w:t>
            </w:r>
          </w:p>
        </w:tc>
        <w:tc>
          <w:tcPr>
            <w:tcW w:w="3081" w:type="dxa"/>
          </w:tcPr>
          <w:p w:rsidR="00261E17" w:rsidRDefault="00BA0278">
            <w:r>
              <w:t>Chair</w:t>
            </w:r>
          </w:p>
        </w:tc>
      </w:tr>
      <w:tr w:rsidR="00261E17" w:rsidTr="006B6D92">
        <w:tc>
          <w:tcPr>
            <w:tcW w:w="3080" w:type="dxa"/>
            <w:vMerge/>
          </w:tcPr>
          <w:p w:rsidR="00261E17" w:rsidRDefault="00261E17"/>
        </w:tc>
        <w:tc>
          <w:tcPr>
            <w:tcW w:w="3081" w:type="dxa"/>
          </w:tcPr>
          <w:p w:rsidR="00261E17" w:rsidRDefault="00261E17">
            <w:r>
              <w:t>Andrew Olney, Head of Glasgow Communities and Libraries</w:t>
            </w:r>
          </w:p>
        </w:tc>
        <w:tc>
          <w:tcPr>
            <w:tcW w:w="3081" w:type="dxa"/>
          </w:tcPr>
          <w:p w:rsidR="00261E17" w:rsidRDefault="00261E17">
            <w:r>
              <w:t>Member</w:t>
            </w:r>
          </w:p>
        </w:tc>
      </w:tr>
      <w:tr w:rsidR="00261E17" w:rsidTr="006B6D92">
        <w:tc>
          <w:tcPr>
            <w:tcW w:w="3080" w:type="dxa"/>
            <w:vMerge/>
          </w:tcPr>
          <w:p w:rsidR="00261E17" w:rsidRDefault="00261E17"/>
        </w:tc>
        <w:tc>
          <w:tcPr>
            <w:tcW w:w="3081" w:type="dxa"/>
          </w:tcPr>
          <w:p w:rsidR="00261E17" w:rsidRDefault="00261E17">
            <w:r>
              <w:t>Coleen Willoughby, Learning Manager</w:t>
            </w:r>
          </w:p>
        </w:tc>
        <w:tc>
          <w:tcPr>
            <w:tcW w:w="3081" w:type="dxa"/>
          </w:tcPr>
          <w:p w:rsidR="00261E17" w:rsidRDefault="00261E17">
            <w:r>
              <w:t>Member</w:t>
            </w:r>
          </w:p>
        </w:tc>
      </w:tr>
      <w:tr w:rsidR="00261E17" w:rsidTr="006B6D92">
        <w:tc>
          <w:tcPr>
            <w:tcW w:w="3080" w:type="dxa"/>
            <w:vMerge/>
          </w:tcPr>
          <w:p w:rsidR="00261E17" w:rsidRDefault="00261E17"/>
        </w:tc>
        <w:tc>
          <w:tcPr>
            <w:tcW w:w="3081" w:type="dxa"/>
          </w:tcPr>
          <w:p w:rsidR="00261E17" w:rsidRDefault="00261E17">
            <w:r>
              <w:t>Andrea McMillan, Programme Oversight Manager</w:t>
            </w:r>
          </w:p>
        </w:tc>
        <w:tc>
          <w:tcPr>
            <w:tcW w:w="3081" w:type="dxa"/>
          </w:tcPr>
          <w:p w:rsidR="00261E17" w:rsidRDefault="00261E17">
            <w:r>
              <w:t>Member</w:t>
            </w:r>
          </w:p>
        </w:tc>
      </w:tr>
      <w:tr w:rsidR="00261E17" w:rsidTr="006B6D92">
        <w:tc>
          <w:tcPr>
            <w:tcW w:w="3080" w:type="dxa"/>
            <w:vMerge/>
          </w:tcPr>
          <w:p w:rsidR="00261E17" w:rsidRDefault="00261E17"/>
        </w:tc>
        <w:tc>
          <w:tcPr>
            <w:tcW w:w="3081" w:type="dxa"/>
          </w:tcPr>
          <w:p w:rsidR="00261E17" w:rsidRDefault="00261E17">
            <w:r>
              <w:t xml:space="preserve">Frances Bradley, Learning Services Co-ordinator </w:t>
            </w:r>
          </w:p>
        </w:tc>
        <w:tc>
          <w:tcPr>
            <w:tcW w:w="3081" w:type="dxa"/>
          </w:tcPr>
          <w:p w:rsidR="00261E17" w:rsidRDefault="00261E17">
            <w:r>
              <w:t>Member</w:t>
            </w:r>
          </w:p>
        </w:tc>
      </w:tr>
      <w:tr w:rsidR="006B3DDF" w:rsidTr="004835CF">
        <w:trPr>
          <w:trHeight w:val="547"/>
        </w:trPr>
        <w:tc>
          <w:tcPr>
            <w:tcW w:w="3080" w:type="dxa"/>
          </w:tcPr>
          <w:p w:rsidR="006B3DDF" w:rsidRDefault="006B3DDF" w:rsidP="00715A79">
            <w:r>
              <w:t xml:space="preserve">Glasgow City Council (GCC) Chief Executive </w:t>
            </w:r>
          </w:p>
        </w:tc>
        <w:tc>
          <w:tcPr>
            <w:tcW w:w="3081" w:type="dxa"/>
          </w:tcPr>
          <w:p w:rsidR="006B3DDF" w:rsidRDefault="006B3DDF" w:rsidP="00CA6489">
            <w:r>
              <w:t>Shaw Anderson</w:t>
            </w:r>
          </w:p>
        </w:tc>
        <w:tc>
          <w:tcPr>
            <w:tcW w:w="3081" w:type="dxa"/>
          </w:tcPr>
          <w:p w:rsidR="006B3DDF" w:rsidRDefault="006B3DDF">
            <w:r>
              <w:t>Member</w:t>
            </w:r>
          </w:p>
        </w:tc>
      </w:tr>
      <w:tr w:rsidR="00F6509D" w:rsidTr="006B6D92">
        <w:tc>
          <w:tcPr>
            <w:tcW w:w="3080" w:type="dxa"/>
          </w:tcPr>
          <w:p w:rsidR="00F6509D" w:rsidRDefault="00F6509D" w:rsidP="00715A79">
            <w:r>
              <w:t xml:space="preserve">GCC </w:t>
            </w:r>
            <w:r w:rsidR="00715A79">
              <w:t>Chief Executive</w:t>
            </w:r>
          </w:p>
        </w:tc>
        <w:tc>
          <w:tcPr>
            <w:tcW w:w="3081" w:type="dxa"/>
          </w:tcPr>
          <w:p w:rsidR="00F6509D" w:rsidRDefault="00F6509D">
            <w:r>
              <w:t>Evelyn O’Donnell</w:t>
            </w:r>
          </w:p>
        </w:tc>
        <w:tc>
          <w:tcPr>
            <w:tcW w:w="3081" w:type="dxa"/>
          </w:tcPr>
          <w:p w:rsidR="00F6509D" w:rsidRDefault="006B3DDF">
            <w:r>
              <w:t>Member</w:t>
            </w:r>
          </w:p>
        </w:tc>
      </w:tr>
      <w:tr w:rsidR="00F6509D" w:rsidTr="006B6D92">
        <w:tc>
          <w:tcPr>
            <w:tcW w:w="3080" w:type="dxa"/>
          </w:tcPr>
          <w:p w:rsidR="00F6509D" w:rsidRDefault="00F6509D">
            <w:r>
              <w:t>GCC Education</w:t>
            </w:r>
          </w:p>
        </w:tc>
        <w:tc>
          <w:tcPr>
            <w:tcW w:w="3081" w:type="dxa"/>
          </w:tcPr>
          <w:p w:rsidR="00F6509D" w:rsidRDefault="00F6509D" w:rsidP="00E25435">
            <w:r>
              <w:t>Jacqu</w:t>
            </w:r>
            <w:r w:rsidR="00E25435">
              <w:t>eline</w:t>
            </w:r>
            <w:r>
              <w:t xml:space="preserve"> Nimmo</w:t>
            </w:r>
          </w:p>
        </w:tc>
        <w:tc>
          <w:tcPr>
            <w:tcW w:w="3081" w:type="dxa"/>
          </w:tcPr>
          <w:p w:rsidR="00F6509D" w:rsidRDefault="00D96E2B" w:rsidP="00E57433">
            <w:r>
              <w:t xml:space="preserve">Lead for </w:t>
            </w:r>
            <w:r w:rsidR="00E57433">
              <w:t xml:space="preserve">Early Intervention with Children, Young People and </w:t>
            </w:r>
            <w:r>
              <w:t>Families Theme</w:t>
            </w:r>
          </w:p>
        </w:tc>
      </w:tr>
      <w:tr w:rsidR="00715A79" w:rsidTr="006B6D92">
        <w:tc>
          <w:tcPr>
            <w:tcW w:w="3080" w:type="dxa"/>
          </w:tcPr>
          <w:p w:rsidR="00715A79" w:rsidRDefault="00715A79">
            <w:r>
              <w:lastRenderedPageBreak/>
              <w:t>GCC Social Work</w:t>
            </w:r>
          </w:p>
        </w:tc>
        <w:tc>
          <w:tcPr>
            <w:tcW w:w="3081" w:type="dxa"/>
          </w:tcPr>
          <w:p w:rsidR="00715A79" w:rsidRDefault="00280A96">
            <w:r>
              <w:t>Gary Dove</w:t>
            </w:r>
          </w:p>
        </w:tc>
        <w:tc>
          <w:tcPr>
            <w:tcW w:w="3081" w:type="dxa"/>
          </w:tcPr>
          <w:p w:rsidR="00715A79" w:rsidRDefault="00D96E2B">
            <w:r>
              <w:t>Member</w:t>
            </w:r>
          </w:p>
        </w:tc>
      </w:tr>
      <w:tr w:rsidR="00F6509D" w:rsidTr="006B6D92">
        <w:tc>
          <w:tcPr>
            <w:tcW w:w="3080" w:type="dxa"/>
          </w:tcPr>
          <w:p w:rsidR="00F6509D" w:rsidRDefault="00F6509D">
            <w:r>
              <w:t>Glasgow Colleges Group (GCG) &amp; Glasgow Kelvin (GK)</w:t>
            </w:r>
          </w:p>
        </w:tc>
        <w:tc>
          <w:tcPr>
            <w:tcW w:w="3081" w:type="dxa"/>
          </w:tcPr>
          <w:p w:rsidR="00F6509D" w:rsidRDefault="00F6509D">
            <w:r>
              <w:t>Alan Sherry</w:t>
            </w:r>
          </w:p>
        </w:tc>
        <w:tc>
          <w:tcPr>
            <w:tcW w:w="3081" w:type="dxa"/>
          </w:tcPr>
          <w:p w:rsidR="00F6509D" w:rsidRDefault="00D96E2B">
            <w:r>
              <w:t>Lead for Community Based Adult Learning Theme</w:t>
            </w:r>
          </w:p>
        </w:tc>
      </w:tr>
      <w:tr w:rsidR="00534C8C" w:rsidTr="006B6D92">
        <w:tc>
          <w:tcPr>
            <w:tcW w:w="3080" w:type="dxa"/>
            <w:vMerge w:val="restart"/>
          </w:tcPr>
          <w:p w:rsidR="00534C8C" w:rsidRDefault="00534C8C">
            <w:r>
              <w:t>Glasgow Council For the Voluntary Sector (GCVS)</w:t>
            </w:r>
          </w:p>
        </w:tc>
        <w:tc>
          <w:tcPr>
            <w:tcW w:w="3081" w:type="dxa"/>
          </w:tcPr>
          <w:p w:rsidR="00534C8C" w:rsidRDefault="00BA0278">
            <w:r>
              <w:t>Liz McEntee</w:t>
            </w:r>
            <w:r w:rsidR="00534C8C">
              <w:t xml:space="preserve"> </w:t>
            </w:r>
          </w:p>
        </w:tc>
        <w:tc>
          <w:tcPr>
            <w:tcW w:w="3081" w:type="dxa"/>
          </w:tcPr>
          <w:p w:rsidR="00534C8C" w:rsidRDefault="00BA0278">
            <w:r>
              <w:t>Member</w:t>
            </w:r>
          </w:p>
        </w:tc>
      </w:tr>
      <w:tr w:rsidR="00534C8C" w:rsidTr="006B6D92">
        <w:tc>
          <w:tcPr>
            <w:tcW w:w="3080" w:type="dxa"/>
            <w:vMerge/>
          </w:tcPr>
          <w:p w:rsidR="00534C8C" w:rsidRDefault="00534C8C"/>
        </w:tc>
        <w:tc>
          <w:tcPr>
            <w:tcW w:w="3081" w:type="dxa"/>
          </w:tcPr>
          <w:p w:rsidR="00534C8C" w:rsidRDefault="00BA0278" w:rsidP="00D760AD">
            <w:r>
              <w:t>Sallie Condy</w:t>
            </w:r>
            <w:r w:rsidR="00534C8C">
              <w:t xml:space="preserve"> </w:t>
            </w:r>
          </w:p>
        </w:tc>
        <w:tc>
          <w:tcPr>
            <w:tcW w:w="3081" w:type="dxa"/>
          </w:tcPr>
          <w:p w:rsidR="00534C8C" w:rsidRDefault="00BA0278" w:rsidP="00BA0278">
            <w:r>
              <w:t xml:space="preserve">Lead for Capacity Building Theme </w:t>
            </w:r>
          </w:p>
        </w:tc>
      </w:tr>
      <w:tr w:rsidR="003822B0" w:rsidTr="006B6D92">
        <w:tc>
          <w:tcPr>
            <w:tcW w:w="3080" w:type="dxa"/>
          </w:tcPr>
          <w:p w:rsidR="003822B0" w:rsidRDefault="00534C8C">
            <w:r>
              <w:t>Glasgow City Health &amp; Social Care Partnership (GCHSCP)</w:t>
            </w:r>
          </w:p>
        </w:tc>
        <w:tc>
          <w:tcPr>
            <w:tcW w:w="3081" w:type="dxa"/>
          </w:tcPr>
          <w:p w:rsidR="003822B0" w:rsidRDefault="003822B0">
            <w:r>
              <w:t>Fiona Moss</w:t>
            </w:r>
          </w:p>
        </w:tc>
        <w:tc>
          <w:tcPr>
            <w:tcW w:w="3081" w:type="dxa"/>
          </w:tcPr>
          <w:p w:rsidR="003822B0" w:rsidRDefault="00D96E2B">
            <w:r>
              <w:t>Member</w:t>
            </w:r>
          </w:p>
        </w:tc>
      </w:tr>
      <w:tr w:rsidR="00715A79" w:rsidTr="006B6D92">
        <w:tc>
          <w:tcPr>
            <w:tcW w:w="3080" w:type="dxa"/>
          </w:tcPr>
          <w:p w:rsidR="00715A79" w:rsidRDefault="00715A79">
            <w:r>
              <w:t>Glasgow Housing Association (GHA)</w:t>
            </w:r>
          </w:p>
        </w:tc>
        <w:tc>
          <w:tcPr>
            <w:tcW w:w="3081" w:type="dxa"/>
          </w:tcPr>
          <w:p w:rsidR="00715A79" w:rsidRDefault="00E25435">
            <w:r>
              <w:t>Dorothy Christie</w:t>
            </w:r>
          </w:p>
        </w:tc>
        <w:tc>
          <w:tcPr>
            <w:tcW w:w="3081" w:type="dxa"/>
          </w:tcPr>
          <w:p w:rsidR="00715A79" w:rsidRDefault="00D96E2B">
            <w:r>
              <w:t>Member</w:t>
            </w:r>
          </w:p>
        </w:tc>
      </w:tr>
      <w:tr w:rsidR="00F6509D" w:rsidTr="006B6D92">
        <w:tc>
          <w:tcPr>
            <w:tcW w:w="3080" w:type="dxa"/>
          </w:tcPr>
          <w:p w:rsidR="00F6509D" w:rsidRDefault="00F6509D">
            <w:r>
              <w:t>Jobs &amp; Business Glasgow (J&amp;BG)</w:t>
            </w:r>
          </w:p>
        </w:tc>
        <w:tc>
          <w:tcPr>
            <w:tcW w:w="3081" w:type="dxa"/>
          </w:tcPr>
          <w:p w:rsidR="00210733" w:rsidRDefault="00210733">
            <w:r>
              <w:t>Rosh Campbell</w:t>
            </w:r>
          </w:p>
        </w:tc>
        <w:tc>
          <w:tcPr>
            <w:tcW w:w="3081" w:type="dxa"/>
          </w:tcPr>
          <w:p w:rsidR="00F6509D" w:rsidRDefault="00D96E2B">
            <w:r>
              <w:t>Member</w:t>
            </w:r>
          </w:p>
        </w:tc>
      </w:tr>
      <w:tr w:rsidR="00E25435" w:rsidTr="006B6D92">
        <w:tc>
          <w:tcPr>
            <w:tcW w:w="3080" w:type="dxa"/>
            <w:vMerge w:val="restart"/>
          </w:tcPr>
          <w:p w:rsidR="00E25435" w:rsidRDefault="00E25435">
            <w:r>
              <w:t>Skills Development Scotland</w:t>
            </w:r>
          </w:p>
        </w:tc>
        <w:tc>
          <w:tcPr>
            <w:tcW w:w="3081" w:type="dxa"/>
          </w:tcPr>
          <w:p w:rsidR="00E25435" w:rsidRDefault="00E25435">
            <w:r>
              <w:t>Keith Falconer</w:t>
            </w:r>
          </w:p>
        </w:tc>
        <w:tc>
          <w:tcPr>
            <w:tcW w:w="3081" w:type="dxa"/>
          </w:tcPr>
          <w:p w:rsidR="00E25435" w:rsidRDefault="00D96E2B">
            <w:r>
              <w:t>Member</w:t>
            </w:r>
          </w:p>
        </w:tc>
      </w:tr>
      <w:tr w:rsidR="00E25435" w:rsidTr="006B6D92">
        <w:tc>
          <w:tcPr>
            <w:tcW w:w="3080" w:type="dxa"/>
            <w:vMerge/>
          </w:tcPr>
          <w:p w:rsidR="00E25435" w:rsidRDefault="00E25435"/>
        </w:tc>
        <w:tc>
          <w:tcPr>
            <w:tcW w:w="3081" w:type="dxa"/>
          </w:tcPr>
          <w:p w:rsidR="00E25435" w:rsidRDefault="00E25435">
            <w:r>
              <w:t>Laura McCormack</w:t>
            </w:r>
          </w:p>
        </w:tc>
        <w:tc>
          <w:tcPr>
            <w:tcW w:w="3081" w:type="dxa"/>
          </w:tcPr>
          <w:p w:rsidR="00E25435" w:rsidRDefault="00D96E2B">
            <w:r>
              <w:t>Lead for Learning Support &amp; Guidance in the Community Theme</w:t>
            </w:r>
          </w:p>
        </w:tc>
      </w:tr>
      <w:tr w:rsidR="005E6434" w:rsidTr="008C5892">
        <w:tc>
          <w:tcPr>
            <w:tcW w:w="3080" w:type="dxa"/>
            <w:shd w:val="clear" w:color="auto" w:fill="auto"/>
          </w:tcPr>
          <w:p w:rsidR="005E6434" w:rsidRDefault="005E6434" w:rsidP="00F848B5">
            <w:r>
              <w:t>Third Sector Forum (TSF)</w:t>
            </w:r>
            <w:r w:rsidR="008C5892">
              <w:t xml:space="preserve"> </w:t>
            </w:r>
          </w:p>
        </w:tc>
        <w:tc>
          <w:tcPr>
            <w:tcW w:w="3081" w:type="dxa"/>
            <w:shd w:val="clear" w:color="auto" w:fill="auto"/>
          </w:tcPr>
          <w:p w:rsidR="005E6434" w:rsidRDefault="005E6434">
            <w:r>
              <w:t>Alan Benson</w:t>
            </w:r>
          </w:p>
        </w:tc>
        <w:tc>
          <w:tcPr>
            <w:tcW w:w="3081" w:type="dxa"/>
            <w:shd w:val="clear" w:color="auto" w:fill="auto"/>
          </w:tcPr>
          <w:p w:rsidR="005E6434" w:rsidRDefault="00D96E2B">
            <w:r>
              <w:t>Member</w:t>
            </w:r>
          </w:p>
        </w:tc>
      </w:tr>
      <w:tr w:rsidR="00BA0278" w:rsidTr="00BA0278">
        <w:tc>
          <w:tcPr>
            <w:tcW w:w="3080" w:type="dxa"/>
            <w:shd w:val="clear" w:color="auto" w:fill="F79646" w:themeFill="accent6"/>
          </w:tcPr>
          <w:p w:rsidR="00BA0278" w:rsidRDefault="00BA0278">
            <w:r>
              <w:t>University of Glasgow</w:t>
            </w:r>
          </w:p>
        </w:tc>
        <w:tc>
          <w:tcPr>
            <w:tcW w:w="3081" w:type="dxa"/>
            <w:shd w:val="clear" w:color="auto" w:fill="F79646" w:themeFill="accent6"/>
          </w:tcPr>
          <w:p w:rsidR="00BA0278" w:rsidRDefault="008C5892">
            <w:r>
              <w:t>Invite sent</w:t>
            </w:r>
          </w:p>
        </w:tc>
        <w:tc>
          <w:tcPr>
            <w:tcW w:w="3081" w:type="dxa"/>
            <w:shd w:val="clear" w:color="auto" w:fill="F79646" w:themeFill="accent6"/>
          </w:tcPr>
          <w:p w:rsidR="00BA0278" w:rsidRDefault="008C5892">
            <w:r>
              <w:t>Invite sent</w:t>
            </w:r>
          </w:p>
        </w:tc>
      </w:tr>
      <w:tr w:rsidR="00A92983" w:rsidTr="006B6D92">
        <w:tc>
          <w:tcPr>
            <w:tcW w:w="3080" w:type="dxa"/>
          </w:tcPr>
          <w:p w:rsidR="00A92983" w:rsidRDefault="005E6434" w:rsidP="006B3DDF">
            <w:r>
              <w:t>Volunteer Glasgow (VG)</w:t>
            </w:r>
          </w:p>
        </w:tc>
        <w:tc>
          <w:tcPr>
            <w:tcW w:w="3081" w:type="dxa"/>
          </w:tcPr>
          <w:p w:rsidR="00A92983" w:rsidRDefault="005E6434">
            <w:r>
              <w:t>David Maxwell</w:t>
            </w:r>
          </w:p>
        </w:tc>
        <w:tc>
          <w:tcPr>
            <w:tcW w:w="3081" w:type="dxa"/>
          </w:tcPr>
          <w:p w:rsidR="00A92983" w:rsidRDefault="00D96E2B" w:rsidP="00E57433">
            <w:r>
              <w:t>Lead for Voluntee</w:t>
            </w:r>
            <w:r w:rsidR="00E57433">
              <w:t>r Development</w:t>
            </w:r>
            <w:r>
              <w:t xml:space="preserve"> Theme</w:t>
            </w:r>
          </w:p>
        </w:tc>
      </w:tr>
      <w:tr w:rsidR="00715A79" w:rsidTr="006B6D92">
        <w:tc>
          <w:tcPr>
            <w:tcW w:w="3080" w:type="dxa"/>
          </w:tcPr>
          <w:p w:rsidR="00715A79" w:rsidRDefault="00715A79">
            <w:r>
              <w:t>Workers’ Education</w:t>
            </w:r>
            <w:r w:rsidR="009665CC">
              <w:t>al</w:t>
            </w:r>
            <w:r>
              <w:t xml:space="preserve"> Association (WEA)</w:t>
            </w:r>
          </w:p>
        </w:tc>
        <w:tc>
          <w:tcPr>
            <w:tcW w:w="3081" w:type="dxa"/>
          </w:tcPr>
          <w:p w:rsidR="00715A79" w:rsidRDefault="00715A79">
            <w:r>
              <w:t>Kathleen Richardson</w:t>
            </w:r>
          </w:p>
        </w:tc>
        <w:tc>
          <w:tcPr>
            <w:tcW w:w="3081" w:type="dxa"/>
          </w:tcPr>
          <w:p w:rsidR="00715A79" w:rsidRDefault="00D96E2B">
            <w:r>
              <w:t>Member</w:t>
            </w:r>
          </w:p>
        </w:tc>
      </w:tr>
      <w:tr w:rsidR="00BA0278" w:rsidTr="00B82E29">
        <w:trPr>
          <w:trHeight w:val="203"/>
        </w:trPr>
        <w:tc>
          <w:tcPr>
            <w:tcW w:w="3080" w:type="dxa"/>
            <w:vMerge w:val="restart"/>
          </w:tcPr>
          <w:p w:rsidR="00BA0278" w:rsidRDefault="00BA0278">
            <w:r>
              <w:t>Wheatley Group</w:t>
            </w:r>
          </w:p>
        </w:tc>
        <w:tc>
          <w:tcPr>
            <w:tcW w:w="3081" w:type="dxa"/>
          </w:tcPr>
          <w:p w:rsidR="00BA0278" w:rsidRDefault="00BA0278" w:rsidP="00D760AD">
            <w:r>
              <w:t>Lynne Mitchell</w:t>
            </w:r>
          </w:p>
          <w:p w:rsidR="00BA0278" w:rsidRDefault="00BA0278" w:rsidP="00D760AD"/>
        </w:tc>
        <w:tc>
          <w:tcPr>
            <w:tcW w:w="3081" w:type="dxa"/>
          </w:tcPr>
          <w:p w:rsidR="00BA0278" w:rsidRDefault="00BA0278">
            <w:r>
              <w:t>Member</w:t>
            </w:r>
          </w:p>
        </w:tc>
      </w:tr>
      <w:tr w:rsidR="00BA0278" w:rsidTr="00B82E29">
        <w:trPr>
          <w:trHeight w:val="202"/>
        </w:trPr>
        <w:tc>
          <w:tcPr>
            <w:tcW w:w="3080" w:type="dxa"/>
            <w:vMerge/>
          </w:tcPr>
          <w:p w:rsidR="00BA0278" w:rsidRDefault="00BA0278"/>
        </w:tc>
        <w:tc>
          <w:tcPr>
            <w:tcW w:w="3081" w:type="dxa"/>
          </w:tcPr>
          <w:p w:rsidR="00BA0278" w:rsidRDefault="00BA0278" w:rsidP="00D760AD">
            <w:r>
              <w:t>Lorna Wilson</w:t>
            </w:r>
          </w:p>
        </w:tc>
        <w:tc>
          <w:tcPr>
            <w:tcW w:w="3081" w:type="dxa"/>
          </w:tcPr>
          <w:p w:rsidR="00BA0278" w:rsidRDefault="00BA0278" w:rsidP="00D760AD">
            <w:r>
              <w:t>Member</w:t>
            </w:r>
          </w:p>
        </w:tc>
      </w:tr>
    </w:tbl>
    <w:p w:rsidR="00715A79" w:rsidRDefault="00715A79" w:rsidP="00586159"/>
    <w:p w:rsidR="00586159" w:rsidRDefault="00586159" w:rsidP="00586159">
      <w:r>
        <w:t xml:space="preserve">Section </w:t>
      </w:r>
      <w:r w:rsidR="00A0626E">
        <w:t>5</w:t>
      </w:r>
      <w:r>
        <w:t>:  Meetings and Frequency</w:t>
      </w:r>
    </w:p>
    <w:tbl>
      <w:tblPr>
        <w:tblStyle w:val="TableGrid"/>
        <w:tblW w:w="0" w:type="auto"/>
        <w:tblLook w:val="04A0" w:firstRow="1" w:lastRow="0" w:firstColumn="1" w:lastColumn="0" w:noHBand="0" w:noVBand="1"/>
      </w:tblPr>
      <w:tblGrid>
        <w:gridCol w:w="4621"/>
        <w:gridCol w:w="4621"/>
      </w:tblGrid>
      <w:tr w:rsidR="006B6D92" w:rsidTr="00A92983">
        <w:tc>
          <w:tcPr>
            <w:tcW w:w="9242" w:type="dxa"/>
            <w:gridSpan w:val="2"/>
            <w:shd w:val="clear" w:color="auto" w:fill="C6D9F1" w:themeFill="text2" w:themeFillTint="33"/>
          </w:tcPr>
          <w:p w:rsidR="006B6D92" w:rsidRDefault="006B6D92" w:rsidP="006B6D92">
            <w:pPr>
              <w:pStyle w:val="ListParagraph"/>
              <w:numPr>
                <w:ilvl w:val="0"/>
                <w:numId w:val="1"/>
              </w:numPr>
            </w:pPr>
            <w:r>
              <w:t xml:space="preserve">The Glasgow’s Learning Partnership will meet on a quarterly basis.  </w:t>
            </w:r>
          </w:p>
          <w:p w:rsidR="006B6D92" w:rsidRDefault="006B6D92" w:rsidP="006B6D92">
            <w:pPr>
              <w:pStyle w:val="ListParagraph"/>
              <w:numPr>
                <w:ilvl w:val="0"/>
                <w:numId w:val="1"/>
              </w:numPr>
            </w:pPr>
            <w:r>
              <w:t>Additional meetings will be scheduled as required.</w:t>
            </w:r>
          </w:p>
        </w:tc>
      </w:tr>
      <w:tr w:rsidR="006B6D92" w:rsidTr="005E52D2">
        <w:trPr>
          <w:trHeight w:val="140"/>
        </w:trPr>
        <w:tc>
          <w:tcPr>
            <w:tcW w:w="4621" w:type="dxa"/>
          </w:tcPr>
          <w:p w:rsidR="006B6D92" w:rsidRDefault="006B6D92">
            <w:r>
              <w:t>Meeting Schedule</w:t>
            </w:r>
          </w:p>
        </w:tc>
        <w:tc>
          <w:tcPr>
            <w:tcW w:w="4621" w:type="dxa"/>
          </w:tcPr>
          <w:p w:rsidR="006B6D92" w:rsidRDefault="00736CAD">
            <w:r>
              <w:t>Planned items</w:t>
            </w:r>
          </w:p>
        </w:tc>
      </w:tr>
      <w:tr w:rsidR="006B6D92" w:rsidTr="005E52D2">
        <w:trPr>
          <w:trHeight w:val="138"/>
        </w:trPr>
        <w:tc>
          <w:tcPr>
            <w:tcW w:w="4621" w:type="dxa"/>
          </w:tcPr>
          <w:p w:rsidR="006B6D92" w:rsidRDefault="00967606">
            <w:r>
              <w:t>16 May 17</w:t>
            </w:r>
          </w:p>
        </w:tc>
        <w:tc>
          <w:tcPr>
            <w:tcW w:w="4621" w:type="dxa"/>
          </w:tcPr>
          <w:p w:rsidR="006B6D92" w:rsidRDefault="00967606">
            <w:r>
              <w:t>Reporting on the CLD Plan 2015-18</w:t>
            </w:r>
          </w:p>
          <w:p w:rsidR="004F02D9" w:rsidRDefault="004F02D9">
            <w:r>
              <w:t>CLD in Glasgow:  Now and Future Event (Oct 17)</w:t>
            </w:r>
          </w:p>
          <w:p w:rsidR="00967606" w:rsidRDefault="00967606">
            <w:r>
              <w:t>Preparing for the CLD Plan 2018-21</w:t>
            </w:r>
          </w:p>
          <w:p w:rsidR="00967606" w:rsidRDefault="00967606">
            <w:r>
              <w:t>Participatory Budgeting</w:t>
            </w:r>
          </w:p>
          <w:p w:rsidR="00967606" w:rsidRDefault="00967606">
            <w:r>
              <w:t>Volunteering and Legacy Paper</w:t>
            </w:r>
          </w:p>
          <w:p w:rsidR="00967606" w:rsidRDefault="00967606">
            <w:r>
              <w:t>Measuring the Impact of Our Work</w:t>
            </w:r>
          </w:p>
        </w:tc>
      </w:tr>
      <w:tr w:rsidR="006B6D92" w:rsidTr="005E52D2">
        <w:trPr>
          <w:trHeight w:val="138"/>
        </w:trPr>
        <w:tc>
          <w:tcPr>
            <w:tcW w:w="4621" w:type="dxa"/>
          </w:tcPr>
          <w:p w:rsidR="006B6D92" w:rsidRDefault="00967606">
            <w:r>
              <w:t>24 August 17</w:t>
            </w:r>
          </w:p>
        </w:tc>
        <w:tc>
          <w:tcPr>
            <w:tcW w:w="4621" w:type="dxa"/>
          </w:tcPr>
          <w:p w:rsidR="007A1F76" w:rsidRDefault="007A1F76" w:rsidP="007A1F76">
            <w:r>
              <w:t>Terms of Reference</w:t>
            </w:r>
          </w:p>
          <w:p w:rsidR="007A1F76" w:rsidRDefault="007A1F76" w:rsidP="007A1F76">
            <w:r>
              <w:t>Reporting on the CLD Plan 2015-18</w:t>
            </w:r>
          </w:p>
          <w:p w:rsidR="004F02D9" w:rsidRDefault="004F02D9" w:rsidP="004F02D9">
            <w:r>
              <w:t>CLD in Glasgow:  Now and Future Event (Oct 17)</w:t>
            </w:r>
          </w:p>
          <w:p w:rsidR="007A1F76" w:rsidRDefault="007A1F76">
            <w:r>
              <w:t>Preparing for the CLD Plan 2018-21</w:t>
            </w:r>
            <w:r w:rsidR="0056678F">
              <w:t xml:space="preserve"> (Guidance due in Oct 17)</w:t>
            </w:r>
          </w:p>
        </w:tc>
      </w:tr>
      <w:tr w:rsidR="006F3CE6" w:rsidTr="005E52D2">
        <w:trPr>
          <w:trHeight w:val="138"/>
        </w:trPr>
        <w:tc>
          <w:tcPr>
            <w:tcW w:w="4621" w:type="dxa"/>
          </w:tcPr>
          <w:p w:rsidR="006F3CE6" w:rsidRDefault="006F3CE6">
            <w:r>
              <w:t>29 Sep 17</w:t>
            </w:r>
          </w:p>
        </w:tc>
        <w:tc>
          <w:tcPr>
            <w:tcW w:w="4621" w:type="dxa"/>
          </w:tcPr>
          <w:p w:rsidR="004F02D9" w:rsidRDefault="004F02D9" w:rsidP="004F02D9">
            <w:r>
              <w:t>CLD in Glasgow:  Now and Future Event (Oct 17)</w:t>
            </w:r>
          </w:p>
          <w:p w:rsidR="006F3CE6" w:rsidRDefault="006F3CE6" w:rsidP="007A1F76">
            <w:r>
              <w:t>Glasgow’s Family Engagement and Learning</w:t>
            </w:r>
          </w:p>
        </w:tc>
      </w:tr>
      <w:tr w:rsidR="006B6D92" w:rsidTr="005E52D2">
        <w:trPr>
          <w:trHeight w:val="138"/>
        </w:trPr>
        <w:tc>
          <w:tcPr>
            <w:tcW w:w="4621" w:type="dxa"/>
          </w:tcPr>
          <w:p w:rsidR="006B6D92" w:rsidRDefault="00263984">
            <w:r>
              <w:lastRenderedPageBreak/>
              <w:t>4</w:t>
            </w:r>
            <w:r w:rsidR="0056678F">
              <w:t xml:space="preserve"> December 17</w:t>
            </w:r>
          </w:p>
        </w:tc>
        <w:tc>
          <w:tcPr>
            <w:tcW w:w="4621" w:type="dxa"/>
          </w:tcPr>
          <w:p w:rsidR="0056678F" w:rsidRDefault="0056678F" w:rsidP="0056678F">
            <w:r>
              <w:t>Reporting on the CLD Plan 2015-18</w:t>
            </w:r>
            <w:r w:rsidR="00263984">
              <w:t xml:space="preserve"> and the Guidance</w:t>
            </w:r>
          </w:p>
          <w:p w:rsidR="004F02D9" w:rsidRDefault="004F02D9" w:rsidP="004F02D9">
            <w:r>
              <w:t>CLD in Glasgow:  Now and Future Event (Oct 17) Feedback</w:t>
            </w:r>
          </w:p>
          <w:p w:rsidR="00452AAF" w:rsidRDefault="00452AAF">
            <w:r>
              <w:t>Preparing for the CLD Plan 2018-21 (New Guidance)</w:t>
            </w:r>
          </w:p>
          <w:p w:rsidR="00263984" w:rsidRDefault="00263984">
            <w:r>
              <w:t>Reporting on the Current CLD Plan 2015-18</w:t>
            </w:r>
          </w:p>
          <w:p w:rsidR="00263984" w:rsidRDefault="00263984">
            <w:r>
              <w:t>Glasgow’s Learning and the Pupil Equity Fund</w:t>
            </w:r>
          </w:p>
          <w:p w:rsidR="00263984" w:rsidRDefault="00263984">
            <w:r>
              <w:t>Update on ESOL Strategy Funding</w:t>
            </w:r>
          </w:p>
          <w:p w:rsidR="00263984" w:rsidRDefault="00263984">
            <w:r>
              <w:t>Socio Economic Duty and Implications for CLD</w:t>
            </w:r>
          </w:p>
        </w:tc>
      </w:tr>
      <w:tr w:rsidR="006B6D92" w:rsidTr="005E52D2">
        <w:trPr>
          <w:trHeight w:val="138"/>
        </w:trPr>
        <w:tc>
          <w:tcPr>
            <w:tcW w:w="4621" w:type="dxa"/>
          </w:tcPr>
          <w:p w:rsidR="006B6D92" w:rsidRDefault="00A56425" w:rsidP="00125595">
            <w:r>
              <w:t>1</w:t>
            </w:r>
            <w:r w:rsidR="00125595">
              <w:t xml:space="preserve">4 </w:t>
            </w:r>
            <w:r w:rsidR="0056678F">
              <w:t>March 2018</w:t>
            </w:r>
          </w:p>
        </w:tc>
        <w:tc>
          <w:tcPr>
            <w:tcW w:w="4621" w:type="dxa"/>
          </w:tcPr>
          <w:p w:rsidR="006B6D92" w:rsidRDefault="00637BF7">
            <w:proofErr w:type="spellStart"/>
            <w:r>
              <w:t>Self Evaluation</w:t>
            </w:r>
            <w:proofErr w:type="spellEnd"/>
            <w:r>
              <w:t xml:space="preserve"> of Glasgow’s Learning </w:t>
            </w:r>
            <w:proofErr w:type="gramStart"/>
            <w:r>
              <w:t>Partnership  (</w:t>
            </w:r>
            <w:proofErr w:type="gramEnd"/>
            <w:r>
              <w:t>What difference are we making and how do we know?)</w:t>
            </w:r>
          </w:p>
          <w:p w:rsidR="00637BF7" w:rsidRDefault="00637BF7">
            <w:r>
              <w:t>Re-establishing Terms of Reference for 2018-19</w:t>
            </w:r>
          </w:p>
          <w:p w:rsidR="00637BF7" w:rsidRDefault="00637BF7">
            <w:r>
              <w:t>Establishing the vision for 2018 and beyond</w:t>
            </w:r>
          </w:p>
        </w:tc>
      </w:tr>
      <w:tr w:rsidR="00293B4C" w:rsidTr="005E52D2">
        <w:trPr>
          <w:trHeight w:val="138"/>
        </w:trPr>
        <w:tc>
          <w:tcPr>
            <w:tcW w:w="4621" w:type="dxa"/>
          </w:tcPr>
          <w:p w:rsidR="00293B4C" w:rsidRDefault="00293B4C">
            <w:r>
              <w:t>7 June 2018</w:t>
            </w:r>
          </w:p>
        </w:tc>
        <w:tc>
          <w:tcPr>
            <w:tcW w:w="4621" w:type="dxa"/>
          </w:tcPr>
          <w:p w:rsidR="00293B4C" w:rsidRDefault="00293B4C"/>
        </w:tc>
      </w:tr>
      <w:tr w:rsidR="00293B4C" w:rsidTr="005E52D2">
        <w:trPr>
          <w:trHeight w:val="138"/>
        </w:trPr>
        <w:tc>
          <w:tcPr>
            <w:tcW w:w="4621" w:type="dxa"/>
          </w:tcPr>
          <w:p w:rsidR="00293B4C" w:rsidRDefault="00293B4C">
            <w:r>
              <w:t>6 September 2018</w:t>
            </w:r>
          </w:p>
        </w:tc>
        <w:tc>
          <w:tcPr>
            <w:tcW w:w="4621" w:type="dxa"/>
          </w:tcPr>
          <w:p w:rsidR="00293B4C" w:rsidRDefault="00293B4C"/>
        </w:tc>
      </w:tr>
      <w:tr w:rsidR="00293B4C" w:rsidTr="005E52D2">
        <w:trPr>
          <w:trHeight w:val="138"/>
        </w:trPr>
        <w:tc>
          <w:tcPr>
            <w:tcW w:w="4621" w:type="dxa"/>
          </w:tcPr>
          <w:p w:rsidR="00293B4C" w:rsidRDefault="00293B4C">
            <w:r>
              <w:t>6 December 2018</w:t>
            </w:r>
          </w:p>
        </w:tc>
        <w:tc>
          <w:tcPr>
            <w:tcW w:w="4621" w:type="dxa"/>
          </w:tcPr>
          <w:p w:rsidR="00293B4C" w:rsidRDefault="00293B4C"/>
        </w:tc>
      </w:tr>
      <w:tr w:rsidR="00293B4C" w:rsidTr="005E52D2">
        <w:trPr>
          <w:trHeight w:val="138"/>
        </w:trPr>
        <w:tc>
          <w:tcPr>
            <w:tcW w:w="4621" w:type="dxa"/>
          </w:tcPr>
          <w:p w:rsidR="00293B4C" w:rsidRDefault="00293B4C">
            <w:r>
              <w:t>7 March 2019</w:t>
            </w:r>
          </w:p>
        </w:tc>
        <w:tc>
          <w:tcPr>
            <w:tcW w:w="4621" w:type="dxa"/>
          </w:tcPr>
          <w:p w:rsidR="00293B4C" w:rsidRDefault="00293B4C"/>
        </w:tc>
      </w:tr>
    </w:tbl>
    <w:p w:rsidR="006B6D92" w:rsidRDefault="006B6D92"/>
    <w:p w:rsidR="00983207" w:rsidRDefault="00586159">
      <w:r>
        <w:t xml:space="preserve">Section </w:t>
      </w:r>
      <w:r w:rsidR="00A0626E">
        <w:t>6</w:t>
      </w:r>
      <w:r>
        <w:t>:  Agenda</w:t>
      </w:r>
      <w:r w:rsidR="00967606">
        <w:t xml:space="preserve"> 2017-18</w:t>
      </w:r>
    </w:p>
    <w:tbl>
      <w:tblPr>
        <w:tblStyle w:val="TableGrid"/>
        <w:tblW w:w="0" w:type="auto"/>
        <w:tblLook w:val="04A0" w:firstRow="1" w:lastRow="0" w:firstColumn="1" w:lastColumn="0" w:noHBand="0" w:noVBand="1"/>
      </w:tblPr>
      <w:tblGrid>
        <w:gridCol w:w="475"/>
        <w:gridCol w:w="8767"/>
      </w:tblGrid>
      <w:tr w:rsidR="00983207" w:rsidTr="00967606">
        <w:trPr>
          <w:trHeight w:val="140"/>
        </w:trPr>
        <w:tc>
          <w:tcPr>
            <w:tcW w:w="475" w:type="dxa"/>
            <w:shd w:val="clear" w:color="auto" w:fill="C6D9F1" w:themeFill="text2" w:themeFillTint="33"/>
          </w:tcPr>
          <w:p w:rsidR="00983207" w:rsidRDefault="00586159" w:rsidP="0036097C">
            <w:r>
              <w:t>No</w:t>
            </w:r>
          </w:p>
        </w:tc>
        <w:tc>
          <w:tcPr>
            <w:tcW w:w="8767" w:type="dxa"/>
            <w:shd w:val="clear" w:color="auto" w:fill="C6D9F1" w:themeFill="text2" w:themeFillTint="33"/>
          </w:tcPr>
          <w:p w:rsidR="00983207" w:rsidRDefault="00D539C5" w:rsidP="0036097C">
            <w:r>
              <w:t>Standing Agenda Items</w:t>
            </w:r>
          </w:p>
        </w:tc>
      </w:tr>
      <w:tr w:rsidR="00983207" w:rsidTr="00967606">
        <w:trPr>
          <w:trHeight w:val="138"/>
        </w:trPr>
        <w:tc>
          <w:tcPr>
            <w:tcW w:w="475" w:type="dxa"/>
          </w:tcPr>
          <w:p w:rsidR="00983207" w:rsidRDefault="00967606" w:rsidP="00967606">
            <w:r>
              <w:t>1.</w:t>
            </w:r>
          </w:p>
        </w:tc>
        <w:tc>
          <w:tcPr>
            <w:tcW w:w="8767" w:type="dxa"/>
          </w:tcPr>
          <w:p w:rsidR="00983207" w:rsidRDefault="00967606" w:rsidP="0036097C">
            <w:r>
              <w:t>Quarterly Report on Progressing CLD Plan 2015-18 from Theme Leads:</w:t>
            </w:r>
          </w:p>
          <w:p w:rsidR="00967606" w:rsidRDefault="00967606" w:rsidP="00967606">
            <w:pPr>
              <w:pStyle w:val="ListParagraph"/>
              <w:numPr>
                <w:ilvl w:val="0"/>
                <w:numId w:val="6"/>
              </w:numPr>
            </w:pPr>
            <w:r>
              <w:t>Building</w:t>
            </w:r>
            <w:r w:rsidR="00437251">
              <w:t xml:space="preserve"> the Capacity of Communities to Meet their Own Needs</w:t>
            </w:r>
          </w:p>
          <w:p w:rsidR="00967606" w:rsidRDefault="00E57433" w:rsidP="00967606">
            <w:pPr>
              <w:pStyle w:val="ListParagraph"/>
              <w:numPr>
                <w:ilvl w:val="0"/>
                <w:numId w:val="6"/>
              </w:numPr>
            </w:pPr>
            <w:r>
              <w:t>Early Intervention with Children, Young People and</w:t>
            </w:r>
            <w:r w:rsidR="00967606">
              <w:t xml:space="preserve"> Families </w:t>
            </w:r>
          </w:p>
          <w:p w:rsidR="00967606" w:rsidRDefault="00967606" w:rsidP="00967606">
            <w:pPr>
              <w:pStyle w:val="ListParagraph"/>
              <w:numPr>
                <w:ilvl w:val="0"/>
                <w:numId w:val="6"/>
              </w:numPr>
            </w:pPr>
            <w:r>
              <w:t>Community Based Adult Learning</w:t>
            </w:r>
          </w:p>
          <w:p w:rsidR="00967606" w:rsidRDefault="00967606" w:rsidP="00967606">
            <w:pPr>
              <w:pStyle w:val="ListParagraph"/>
              <w:numPr>
                <w:ilvl w:val="0"/>
                <w:numId w:val="6"/>
              </w:numPr>
            </w:pPr>
            <w:r>
              <w:t>Learning Support and Guidance in the Community</w:t>
            </w:r>
          </w:p>
          <w:p w:rsidR="00437251" w:rsidRDefault="00967606" w:rsidP="00967606">
            <w:pPr>
              <w:pStyle w:val="ListParagraph"/>
              <w:numPr>
                <w:ilvl w:val="0"/>
                <w:numId w:val="6"/>
              </w:numPr>
            </w:pPr>
            <w:r>
              <w:t>Volunteer</w:t>
            </w:r>
            <w:r w:rsidR="00E57433">
              <w:t xml:space="preserve"> Development</w:t>
            </w:r>
          </w:p>
          <w:p w:rsidR="00967606" w:rsidRPr="00437251" w:rsidRDefault="00967606" w:rsidP="00437251">
            <w:r w:rsidRPr="00437251">
              <w:rPr>
                <w:i/>
              </w:rPr>
              <w:t>**One of the above will be an in depth discussion on a rotating basis.</w:t>
            </w:r>
          </w:p>
        </w:tc>
      </w:tr>
      <w:tr w:rsidR="00983207" w:rsidTr="00967606">
        <w:trPr>
          <w:trHeight w:val="138"/>
        </w:trPr>
        <w:tc>
          <w:tcPr>
            <w:tcW w:w="475" w:type="dxa"/>
          </w:tcPr>
          <w:p w:rsidR="00983207" w:rsidRDefault="00967606" w:rsidP="0036097C">
            <w:r>
              <w:t>2.</w:t>
            </w:r>
          </w:p>
        </w:tc>
        <w:tc>
          <w:tcPr>
            <w:tcW w:w="8767" w:type="dxa"/>
          </w:tcPr>
          <w:p w:rsidR="00983207" w:rsidRDefault="00967606" w:rsidP="00967606">
            <w:r>
              <w:t>CLD Conference 2017 Planning Update</w:t>
            </w:r>
          </w:p>
        </w:tc>
      </w:tr>
      <w:tr w:rsidR="00983207" w:rsidTr="00967606">
        <w:trPr>
          <w:trHeight w:val="138"/>
        </w:trPr>
        <w:tc>
          <w:tcPr>
            <w:tcW w:w="475" w:type="dxa"/>
          </w:tcPr>
          <w:p w:rsidR="00983207" w:rsidRDefault="00967606" w:rsidP="0036097C">
            <w:r>
              <w:t>3.</w:t>
            </w:r>
          </w:p>
        </w:tc>
        <w:tc>
          <w:tcPr>
            <w:tcW w:w="8767" w:type="dxa"/>
          </w:tcPr>
          <w:p w:rsidR="00983207" w:rsidRDefault="00967606" w:rsidP="0036097C">
            <w:r>
              <w:t>Preparation for CLD Plan 2018-21</w:t>
            </w:r>
          </w:p>
        </w:tc>
      </w:tr>
      <w:tr w:rsidR="00983207" w:rsidTr="00967606">
        <w:trPr>
          <w:trHeight w:val="138"/>
        </w:trPr>
        <w:tc>
          <w:tcPr>
            <w:tcW w:w="475" w:type="dxa"/>
          </w:tcPr>
          <w:p w:rsidR="00983207" w:rsidRDefault="00967606" w:rsidP="0036097C">
            <w:r>
              <w:t>4.</w:t>
            </w:r>
          </w:p>
        </w:tc>
        <w:tc>
          <w:tcPr>
            <w:tcW w:w="8767" w:type="dxa"/>
          </w:tcPr>
          <w:p w:rsidR="00983207" w:rsidRDefault="00967606" w:rsidP="0036097C">
            <w:r>
              <w:t>Information and Best Practice Sharing from Members</w:t>
            </w:r>
          </w:p>
        </w:tc>
      </w:tr>
      <w:tr w:rsidR="00A03E26" w:rsidTr="00967606">
        <w:trPr>
          <w:trHeight w:val="138"/>
        </w:trPr>
        <w:tc>
          <w:tcPr>
            <w:tcW w:w="475" w:type="dxa"/>
          </w:tcPr>
          <w:p w:rsidR="00A03E26" w:rsidRDefault="00A03E26" w:rsidP="0036097C">
            <w:r>
              <w:t>5.</w:t>
            </w:r>
          </w:p>
        </w:tc>
        <w:tc>
          <w:tcPr>
            <w:tcW w:w="8767" w:type="dxa"/>
          </w:tcPr>
          <w:p w:rsidR="00A03E26" w:rsidRDefault="00C40EC5" w:rsidP="00C40EC5">
            <w:r w:rsidRPr="00C40EC5">
              <w:t>Embedding CLD in Glasgow and p</w:t>
            </w:r>
            <w:r w:rsidR="00A03E26" w:rsidRPr="00C40EC5">
              <w:t xml:space="preserve">romoting </w:t>
            </w:r>
            <w:r w:rsidRPr="00C40EC5">
              <w:t xml:space="preserve">its </w:t>
            </w:r>
            <w:r w:rsidR="00A03E26" w:rsidRPr="00C40EC5">
              <w:t>value and b</w:t>
            </w:r>
            <w:r w:rsidRPr="00C40EC5">
              <w:t>enefits at local, city and national levels</w:t>
            </w:r>
          </w:p>
        </w:tc>
      </w:tr>
    </w:tbl>
    <w:p w:rsidR="00983207" w:rsidRDefault="00983207"/>
    <w:p w:rsidR="006B6D92" w:rsidRDefault="00586159">
      <w:r>
        <w:t xml:space="preserve">Section </w:t>
      </w:r>
      <w:r w:rsidR="00A0626E">
        <w:t>7</w:t>
      </w:r>
      <w:r>
        <w:t>:  Governance and Reporting Structure</w:t>
      </w:r>
    </w:p>
    <w:tbl>
      <w:tblPr>
        <w:tblStyle w:val="TableGrid"/>
        <w:tblW w:w="0" w:type="auto"/>
        <w:tblLook w:val="04A0" w:firstRow="1" w:lastRow="0" w:firstColumn="1" w:lastColumn="0" w:noHBand="0" w:noVBand="1"/>
      </w:tblPr>
      <w:tblGrid>
        <w:gridCol w:w="2310"/>
        <w:gridCol w:w="2310"/>
        <w:gridCol w:w="2311"/>
        <w:gridCol w:w="2311"/>
      </w:tblGrid>
      <w:tr w:rsidR="00586159" w:rsidTr="00A92983">
        <w:tc>
          <w:tcPr>
            <w:tcW w:w="9242" w:type="dxa"/>
            <w:gridSpan w:val="4"/>
            <w:shd w:val="clear" w:color="auto" w:fill="FFFFFF" w:themeFill="background1"/>
          </w:tcPr>
          <w:p w:rsidR="00586159" w:rsidRDefault="00586159" w:rsidP="008E0F70">
            <w:pPr>
              <w:pStyle w:val="ListParagraph"/>
              <w:numPr>
                <w:ilvl w:val="0"/>
                <w:numId w:val="2"/>
              </w:numPr>
            </w:pPr>
            <w:r w:rsidRPr="000C148B">
              <w:rPr>
                <w:shd w:val="clear" w:color="auto" w:fill="FFFFFF" w:themeFill="background1"/>
              </w:rPr>
              <w:t xml:space="preserve">The Glasgow </w:t>
            </w:r>
            <w:r w:rsidR="00A03E26" w:rsidRPr="000C148B">
              <w:rPr>
                <w:shd w:val="clear" w:color="auto" w:fill="FFFFFF" w:themeFill="background1"/>
              </w:rPr>
              <w:t xml:space="preserve">Community </w:t>
            </w:r>
            <w:r w:rsidRPr="000C148B">
              <w:rPr>
                <w:shd w:val="clear" w:color="auto" w:fill="FFFFFF" w:themeFill="background1"/>
              </w:rPr>
              <w:t>Learning</w:t>
            </w:r>
            <w:r w:rsidR="00A86ECC" w:rsidRPr="000C148B">
              <w:rPr>
                <w:shd w:val="clear" w:color="auto" w:fill="FFFFFF" w:themeFill="background1"/>
              </w:rPr>
              <w:t xml:space="preserve"> and Development Strategic</w:t>
            </w:r>
            <w:r w:rsidRPr="000C148B">
              <w:rPr>
                <w:shd w:val="clear" w:color="auto" w:fill="FFFFFF" w:themeFill="background1"/>
              </w:rPr>
              <w:t xml:space="preserve"> Partnership reports on the Community Learning and Development Plan on behalf of Community Planning and</w:t>
            </w:r>
            <w:r>
              <w:t xml:space="preserve"> the Glasgow City Council.</w:t>
            </w:r>
          </w:p>
          <w:p w:rsidR="008E0F70" w:rsidRDefault="008E0F70" w:rsidP="008E0F70">
            <w:pPr>
              <w:pStyle w:val="ListParagraph"/>
              <w:numPr>
                <w:ilvl w:val="0"/>
                <w:numId w:val="2"/>
              </w:numPr>
            </w:pPr>
            <w:r>
              <w:lastRenderedPageBreak/>
              <w:t xml:space="preserve">Members of the </w:t>
            </w:r>
            <w:r w:rsidR="00C40EC5">
              <w:t xml:space="preserve">Glasgow Community Learning and Development Strategic Partnership </w:t>
            </w:r>
            <w:r>
              <w:t>are responsible for reporting on the CLD Plan and Partnership activities to their respective services.</w:t>
            </w:r>
          </w:p>
          <w:p w:rsidR="00BA6609" w:rsidRDefault="00BA6609" w:rsidP="008E0F70">
            <w:pPr>
              <w:pStyle w:val="ListParagraph"/>
              <w:numPr>
                <w:ilvl w:val="0"/>
                <w:numId w:val="2"/>
              </w:numPr>
            </w:pPr>
            <w:r>
              <w:t>Glasgow Life is the designated lead for supporting the GCLDSP to implement the CLD Plan.</w:t>
            </w:r>
          </w:p>
        </w:tc>
      </w:tr>
      <w:tr w:rsidR="00586159" w:rsidTr="00A92983">
        <w:tc>
          <w:tcPr>
            <w:tcW w:w="2310" w:type="dxa"/>
            <w:shd w:val="clear" w:color="auto" w:fill="C6D9F1" w:themeFill="text2" w:themeFillTint="33"/>
          </w:tcPr>
          <w:p w:rsidR="00586159" w:rsidRDefault="00586159">
            <w:r>
              <w:lastRenderedPageBreak/>
              <w:t>Name</w:t>
            </w:r>
          </w:p>
        </w:tc>
        <w:tc>
          <w:tcPr>
            <w:tcW w:w="2310" w:type="dxa"/>
            <w:shd w:val="clear" w:color="auto" w:fill="C6D9F1" w:themeFill="text2" w:themeFillTint="33"/>
          </w:tcPr>
          <w:p w:rsidR="00586159" w:rsidRDefault="00586159">
            <w:r>
              <w:t>Reports to</w:t>
            </w:r>
          </w:p>
        </w:tc>
        <w:tc>
          <w:tcPr>
            <w:tcW w:w="2311" w:type="dxa"/>
            <w:shd w:val="clear" w:color="auto" w:fill="C6D9F1" w:themeFill="text2" w:themeFillTint="33"/>
          </w:tcPr>
          <w:p w:rsidR="00586159" w:rsidRDefault="00586159">
            <w:r>
              <w:t>Method</w:t>
            </w:r>
          </w:p>
        </w:tc>
        <w:tc>
          <w:tcPr>
            <w:tcW w:w="2311" w:type="dxa"/>
            <w:shd w:val="clear" w:color="auto" w:fill="C6D9F1" w:themeFill="text2" w:themeFillTint="33"/>
          </w:tcPr>
          <w:p w:rsidR="00586159" w:rsidRDefault="00586159">
            <w:r>
              <w:t>Frequency</w:t>
            </w:r>
          </w:p>
        </w:tc>
      </w:tr>
      <w:tr w:rsidR="00586159" w:rsidTr="008A4FB9">
        <w:tc>
          <w:tcPr>
            <w:tcW w:w="2310" w:type="dxa"/>
            <w:shd w:val="clear" w:color="auto" w:fill="auto"/>
          </w:tcPr>
          <w:p w:rsidR="00586159" w:rsidRDefault="00586159" w:rsidP="00C40EC5">
            <w:r>
              <w:t>Glasgow’s</w:t>
            </w:r>
            <w:r w:rsidR="00C40EC5">
              <w:t xml:space="preserve"> Community</w:t>
            </w:r>
            <w:r>
              <w:t xml:space="preserve"> Learning</w:t>
            </w:r>
            <w:r w:rsidR="00C40EC5">
              <w:t xml:space="preserve"> and Development</w:t>
            </w:r>
            <w:r>
              <w:t xml:space="preserve"> </w:t>
            </w:r>
            <w:r w:rsidR="00D539C5">
              <w:t xml:space="preserve">Strategic </w:t>
            </w:r>
            <w:r>
              <w:t>Partnership</w:t>
            </w:r>
            <w:r w:rsidR="00C40EC5">
              <w:t xml:space="preserve"> (GCLDSP</w:t>
            </w:r>
            <w:r w:rsidR="00D539C5">
              <w:t>)</w:t>
            </w:r>
          </w:p>
        </w:tc>
        <w:tc>
          <w:tcPr>
            <w:tcW w:w="2310" w:type="dxa"/>
            <w:shd w:val="clear" w:color="auto" w:fill="auto"/>
          </w:tcPr>
          <w:p w:rsidR="00586159" w:rsidRDefault="00586159">
            <w:r>
              <w:t>Glasgow City Council</w:t>
            </w:r>
          </w:p>
          <w:p w:rsidR="002F3018" w:rsidRDefault="002F3018" w:rsidP="00492F0C">
            <w:pPr>
              <w:pStyle w:val="ListParagraph"/>
              <w:numPr>
                <w:ilvl w:val="0"/>
                <w:numId w:val="17"/>
              </w:numPr>
            </w:pPr>
            <w:r>
              <w:t>Operational Delivery and Scrutiny Committee (ODSC)</w:t>
            </w:r>
          </w:p>
          <w:p w:rsidR="00EE0105" w:rsidRDefault="00EE0105" w:rsidP="00492F0C">
            <w:pPr>
              <w:pStyle w:val="ListParagraph"/>
              <w:numPr>
                <w:ilvl w:val="0"/>
                <w:numId w:val="17"/>
              </w:numPr>
            </w:pPr>
            <w:r w:rsidRPr="00044FDC">
              <w:rPr>
                <w:lang w:eastAsia="en-GB"/>
              </w:rPr>
              <w:t>Wellbeing, Empowerment, Community and Citizen Engagement City Policy Committee</w:t>
            </w:r>
          </w:p>
        </w:tc>
        <w:tc>
          <w:tcPr>
            <w:tcW w:w="2311" w:type="dxa"/>
            <w:shd w:val="clear" w:color="auto" w:fill="auto"/>
          </w:tcPr>
          <w:p w:rsidR="00586159" w:rsidRDefault="002F3018">
            <w:r>
              <w:t>Written Reports</w:t>
            </w:r>
            <w:r w:rsidR="005B64B4">
              <w:t xml:space="preserve"> under Vibrancy Theme</w:t>
            </w:r>
          </w:p>
          <w:p w:rsidR="00C467FE" w:rsidRDefault="00C467FE"/>
          <w:p w:rsidR="00EE0105" w:rsidRDefault="00EE0105"/>
          <w:p w:rsidR="00EE0105" w:rsidRDefault="00EE0105"/>
          <w:p w:rsidR="00EE0105" w:rsidRDefault="00EE0105">
            <w:r>
              <w:t>Written Report</w:t>
            </w:r>
            <w:r w:rsidR="007E36A4">
              <w:t>s</w:t>
            </w:r>
          </w:p>
        </w:tc>
        <w:tc>
          <w:tcPr>
            <w:tcW w:w="2311" w:type="dxa"/>
            <w:shd w:val="clear" w:color="auto" w:fill="auto"/>
          </w:tcPr>
          <w:p w:rsidR="00586159" w:rsidRDefault="00631CF1">
            <w:r>
              <w:t>Annual</w:t>
            </w:r>
          </w:p>
          <w:p w:rsidR="00C467FE" w:rsidRDefault="00C467FE"/>
          <w:p w:rsidR="00EE0105" w:rsidRDefault="00EE0105"/>
          <w:p w:rsidR="00EE0105" w:rsidRDefault="00EE0105"/>
          <w:p w:rsidR="005B64B4" w:rsidRDefault="005B64B4" w:rsidP="005B64B4"/>
          <w:p w:rsidR="00EE0105" w:rsidRDefault="00972C7C" w:rsidP="005B64B4">
            <w:r>
              <w:t xml:space="preserve">Due </w:t>
            </w:r>
            <w:r w:rsidR="00656083">
              <w:t>April 2018</w:t>
            </w:r>
          </w:p>
        </w:tc>
      </w:tr>
      <w:tr w:rsidR="001A3E5F" w:rsidRPr="00CF318E" w:rsidTr="00CF318E">
        <w:tc>
          <w:tcPr>
            <w:tcW w:w="2310" w:type="dxa"/>
            <w:shd w:val="clear" w:color="auto" w:fill="auto"/>
          </w:tcPr>
          <w:p w:rsidR="001A3E5F" w:rsidRPr="00CF318E" w:rsidRDefault="008A4FB9" w:rsidP="00C40EC5">
            <w:r w:rsidRPr="00CF318E">
              <w:t>CLD Planning</w:t>
            </w:r>
          </w:p>
        </w:tc>
        <w:tc>
          <w:tcPr>
            <w:tcW w:w="2310" w:type="dxa"/>
            <w:shd w:val="clear" w:color="auto" w:fill="auto"/>
          </w:tcPr>
          <w:p w:rsidR="001A3E5F" w:rsidRPr="00CF318E" w:rsidRDefault="001A3E5F">
            <w:r w:rsidRPr="00CF318E">
              <w:t>Glasgow Life Board</w:t>
            </w:r>
          </w:p>
        </w:tc>
        <w:tc>
          <w:tcPr>
            <w:tcW w:w="2311" w:type="dxa"/>
            <w:shd w:val="clear" w:color="auto" w:fill="auto"/>
          </w:tcPr>
          <w:p w:rsidR="001A3E5F" w:rsidRPr="00CF318E" w:rsidRDefault="007E36A4">
            <w:r>
              <w:t xml:space="preserve">Written </w:t>
            </w:r>
            <w:r w:rsidR="008A4FB9" w:rsidRPr="00CF318E">
              <w:t>Report</w:t>
            </w:r>
            <w:r>
              <w:t>s</w:t>
            </w:r>
          </w:p>
        </w:tc>
        <w:tc>
          <w:tcPr>
            <w:tcW w:w="2311" w:type="dxa"/>
            <w:shd w:val="clear" w:color="auto" w:fill="auto"/>
          </w:tcPr>
          <w:p w:rsidR="001A3E5F" w:rsidRPr="00CF318E" w:rsidRDefault="00B81918">
            <w:r w:rsidRPr="00CF318E">
              <w:t>5 x a Year</w:t>
            </w:r>
          </w:p>
        </w:tc>
      </w:tr>
      <w:tr w:rsidR="008A4FB9" w:rsidTr="00CF318E">
        <w:tc>
          <w:tcPr>
            <w:tcW w:w="2310" w:type="dxa"/>
            <w:shd w:val="clear" w:color="auto" w:fill="auto"/>
          </w:tcPr>
          <w:p w:rsidR="008A4FB9" w:rsidRPr="00CF318E" w:rsidRDefault="008A4FB9" w:rsidP="00C40EC5">
            <w:r w:rsidRPr="00CF318E">
              <w:t>CLD Planning</w:t>
            </w:r>
          </w:p>
        </w:tc>
        <w:tc>
          <w:tcPr>
            <w:tcW w:w="2310" w:type="dxa"/>
            <w:shd w:val="clear" w:color="auto" w:fill="auto"/>
          </w:tcPr>
          <w:p w:rsidR="008A4FB9" w:rsidRPr="00CF318E" w:rsidRDefault="008A4FB9">
            <w:r w:rsidRPr="00CF318E">
              <w:t>Glasgow Life Operations Board</w:t>
            </w:r>
          </w:p>
        </w:tc>
        <w:tc>
          <w:tcPr>
            <w:tcW w:w="2311" w:type="dxa"/>
            <w:shd w:val="clear" w:color="auto" w:fill="auto"/>
          </w:tcPr>
          <w:p w:rsidR="008A4FB9" w:rsidRPr="00CF318E" w:rsidRDefault="007E36A4">
            <w:r>
              <w:t xml:space="preserve">Written </w:t>
            </w:r>
            <w:r w:rsidR="008A4FB9" w:rsidRPr="00CF318E">
              <w:t>Report</w:t>
            </w:r>
            <w:r>
              <w:t>s</w:t>
            </w:r>
          </w:p>
        </w:tc>
        <w:tc>
          <w:tcPr>
            <w:tcW w:w="2311" w:type="dxa"/>
            <w:shd w:val="clear" w:color="auto" w:fill="auto"/>
          </w:tcPr>
          <w:p w:rsidR="008A4FB9" w:rsidRDefault="005B64B4">
            <w:r w:rsidRPr="00CF318E">
              <w:t>4 weekly</w:t>
            </w:r>
          </w:p>
        </w:tc>
      </w:tr>
      <w:tr w:rsidR="00586159" w:rsidRPr="00180C20" w:rsidTr="00D17895">
        <w:tc>
          <w:tcPr>
            <w:tcW w:w="2310" w:type="dxa"/>
            <w:shd w:val="clear" w:color="auto" w:fill="auto"/>
          </w:tcPr>
          <w:p w:rsidR="00586159" w:rsidRPr="00180C20" w:rsidRDefault="00490DAF">
            <w:pPr>
              <w:rPr>
                <w:i/>
              </w:rPr>
            </w:pPr>
            <w:r w:rsidRPr="00180C20">
              <w:rPr>
                <w:i/>
              </w:rPr>
              <w:t>*</w:t>
            </w:r>
            <w:r w:rsidR="00D17895" w:rsidRPr="00180C20">
              <w:rPr>
                <w:i/>
              </w:rPr>
              <w:t xml:space="preserve">Proposed </w:t>
            </w:r>
            <w:r w:rsidR="00C40EC5" w:rsidRPr="00180C20">
              <w:rPr>
                <w:i/>
              </w:rPr>
              <w:t>GCLDSP</w:t>
            </w:r>
            <w:r w:rsidR="00D17895" w:rsidRPr="00180C20">
              <w:rPr>
                <w:i/>
              </w:rPr>
              <w:t xml:space="preserve"> (2018-21)</w:t>
            </w:r>
          </w:p>
        </w:tc>
        <w:tc>
          <w:tcPr>
            <w:tcW w:w="2310" w:type="dxa"/>
            <w:shd w:val="clear" w:color="auto" w:fill="auto"/>
          </w:tcPr>
          <w:p w:rsidR="00D10AC3" w:rsidRPr="00180C20" w:rsidRDefault="00D10AC3" w:rsidP="00D10AC3">
            <w:pPr>
              <w:rPr>
                <w:i/>
              </w:rPr>
            </w:pPr>
            <w:r w:rsidRPr="00180C20">
              <w:rPr>
                <w:i/>
              </w:rPr>
              <w:t>Glasgow Community Planning Partnership:</w:t>
            </w:r>
          </w:p>
          <w:p w:rsidR="00D10AC3" w:rsidRPr="00180C20" w:rsidRDefault="00D10AC3" w:rsidP="00D10AC3">
            <w:pPr>
              <w:pStyle w:val="ListParagraph"/>
              <w:numPr>
                <w:ilvl w:val="0"/>
                <w:numId w:val="21"/>
              </w:numPr>
              <w:ind w:left="384" w:hanging="284"/>
              <w:rPr>
                <w:i/>
              </w:rPr>
            </w:pPr>
            <w:r w:rsidRPr="00180C20">
              <w:rPr>
                <w:i/>
              </w:rPr>
              <w:t>Strategic Board</w:t>
            </w:r>
          </w:p>
          <w:p w:rsidR="00D10AC3" w:rsidRPr="00180C20" w:rsidRDefault="00D10AC3" w:rsidP="00D10AC3">
            <w:pPr>
              <w:pStyle w:val="ListParagraph"/>
              <w:numPr>
                <w:ilvl w:val="0"/>
                <w:numId w:val="21"/>
              </w:numPr>
              <w:ind w:left="384" w:hanging="284"/>
              <w:rPr>
                <w:i/>
              </w:rPr>
            </w:pPr>
            <w:r w:rsidRPr="00180C20">
              <w:rPr>
                <w:i/>
              </w:rPr>
              <w:t>Executive Group</w:t>
            </w:r>
          </w:p>
          <w:p w:rsidR="00586159" w:rsidRPr="00180C20" w:rsidRDefault="00D10AC3" w:rsidP="00D10AC3">
            <w:pPr>
              <w:pStyle w:val="ListParagraph"/>
              <w:numPr>
                <w:ilvl w:val="0"/>
                <w:numId w:val="21"/>
              </w:numPr>
              <w:ind w:left="384" w:hanging="284"/>
              <w:rPr>
                <w:i/>
              </w:rPr>
            </w:pPr>
            <w:r w:rsidRPr="00180C20">
              <w:rPr>
                <w:i/>
              </w:rPr>
              <w:t>Sector Partnership</w:t>
            </w:r>
          </w:p>
        </w:tc>
        <w:tc>
          <w:tcPr>
            <w:tcW w:w="2311" w:type="dxa"/>
            <w:shd w:val="clear" w:color="auto" w:fill="auto"/>
          </w:tcPr>
          <w:p w:rsidR="00D10AC3" w:rsidRPr="00180C20" w:rsidRDefault="00D10AC3">
            <w:pPr>
              <w:rPr>
                <w:i/>
              </w:rPr>
            </w:pPr>
          </w:p>
          <w:p w:rsidR="00D10AC3" w:rsidRPr="00180C20" w:rsidRDefault="00D10AC3">
            <w:pPr>
              <w:rPr>
                <w:i/>
              </w:rPr>
            </w:pPr>
          </w:p>
          <w:p w:rsidR="00586159" w:rsidRPr="00180C20" w:rsidRDefault="00D10AC3">
            <w:pPr>
              <w:rPr>
                <w:i/>
              </w:rPr>
            </w:pPr>
            <w:r w:rsidRPr="00180C20">
              <w:rPr>
                <w:i/>
              </w:rPr>
              <w:t>Written Reports</w:t>
            </w:r>
          </w:p>
          <w:p w:rsidR="00D10AC3" w:rsidRPr="00180C20" w:rsidRDefault="00D10AC3">
            <w:pPr>
              <w:rPr>
                <w:i/>
              </w:rPr>
            </w:pPr>
            <w:r w:rsidRPr="00180C20">
              <w:rPr>
                <w:i/>
              </w:rPr>
              <w:t>Written Reports</w:t>
            </w:r>
          </w:p>
          <w:p w:rsidR="00D10AC3" w:rsidRPr="00180C20" w:rsidRDefault="00D10AC3">
            <w:pPr>
              <w:rPr>
                <w:i/>
              </w:rPr>
            </w:pPr>
            <w:r w:rsidRPr="00180C20">
              <w:rPr>
                <w:i/>
              </w:rPr>
              <w:t>Written Reports</w:t>
            </w:r>
          </w:p>
        </w:tc>
        <w:tc>
          <w:tcPr>
            <w:tcW w:w="2311" w:type="dxa"/>
            <w:shd w:val="clear" w:color="auto" w:fill="auto"/>
          </w:tcPr>
          <w:p w:rsidR="00D10AC3" w:rsidRPr="00180C20" w:rsidRDefault="00D10AC3">
            <w:pPr>
              <w:rPr>
                <w:i/>
              </w:rPr>
            </w:pPr>
          </w:p>
          <w:p w:rsidR="00D10AC3" w:rsidRPr="00180C20" w:rsidRDefault="00D10AC3">
            <w:pPr>
              <w:rPr>
                <w:i/>
              </w:rPr>
            </w:pPr>
          </w:p>
          <w:p w:rsidR="00586159" w:rsidRPr="00180C20" w:rsidRDefault="00D10AC3">
            <w:pPr>
              <w:rPr>
                <w:i/>
              </w:rPr>
            </w:pPr>
            <w:r w:rsidRPr="00180C20">
              <w:rPr>
                <w:i/>
              </w:rPr>
              <w:t>Annually</w:t>
            </w:r>
          </w:p>
          <w:p w:rsidR="00D10AC3" w:rsidRPr="00180C20" w:rsidRDefault="00402E46">
            <w:pPr>
              <w:rPr>
                <w:i/>
              </w:rPr>
            </w:pPr>
            <w:r w:rsidRPr="00180C20">
              <w:rPr>
                <w:i/>
              </w:rPr>
              <w:t>Bi-</w:t>
            </w:r>
            <w:r w:rsidR="00D10AC3" w:rsidRPr="00180C20">
              <w:rPr>
                <w:i/>
              </w:rPr>
              <w:t>Annually</w:t>
            </w:r>
          </w:p>
          <w:p w:rsidR="00D10AC3" w:rsidRPr="00180C20" w:rsidRDefault="00D10AC3">
            <w:pPr>
              <w:rPr>
                <w:i/>
              </w:rPr>
            </w:pPr>
            <w:r w:rsidRPr="00180C20">
              <w:rPr>
                <w:i/>
              </w:rPr>
              <w:t>As Requested</w:t>
            </w:r>
          </w:p>
        </w:tc>
      </w:tr>
      <w:tr w:rsidR="00586159" w:rsidTr="00586159">
        <w:tc>
          <w:tcPr>
            <w:tcW w:w="2310" w:type="dxa"/>
          </w:tcPr>
          <w:p w:rsidR="00586159" w:rsidRDefault="00EC3DAB">
            <w:r>
              <w:t>GCLDSP</w:t>
            </w:r>
          </w:p>
        </w:tc>
        <w:tc>
          <w:tcPr>
            <w:tcW w:w="2310" w:type="dxa"/>
          </w:tcPr>
          <w:p w:rsidR="00586159" w:rsidRDefault="008E0F70">
            <w:r>
              <w:t>Education Scotland</w:t>
            </w:r>
          </w:p>
        </w:tc>
        <w:tc>
          <w:tcPr>
            <w:tcW w:w="2311" w:type="dxa"/>
          </w:tcPr>
          <w:p w:rsidR="00586159" w:rsidRDefault="002F1563">
            <w:r>
              <w:t>Inspections</w:t>
            </w:r>
          </w:p>
        </w:tc>
        <w:tc>
          <w:tcPr>
            <w:tcW w:w="2311" w:type="dxa"/>
          </w:tcPr>
          <w:p w:rsidR="00586159" w:rsidRDefault="002F1563">
            <w:r>
              <w:t>As requested</w:t>
            </w:r>
          </w:p>
        </w:tc>
      </w:tr>
      <w:tr w:rsidR="00586159" w:rsidTr="00586159">
        <w:tc>
          <w:tcPr>
            <w:tcW w:w="2310" w:type="dxa"/>
          </w:tcPr>
          <w:p w:rsidR="00586159" w:rsidRDefault="00631CF1">
            <w:r>
              <w:t>CLD Theme Working Groups</w:t>
            </w:r>
          </w:p>
        </w:tc>
        <w:tc>
          <w:tcPr>
            <w:tcW w:w="2310" w:type="dxa"/>
          </w:tcPr>
          <w:p w:rsidR="00586159" w:rsidRDefault="00EC3DAB">
            <w:r>
              <w:t>GCLDSP</w:t>
            </w:r>
          </w:p>
        </w:tc>
        <w:tc>
          <w:tcPr>
            <w:tcW w:w="2311" w:type="dxa"/>
          </w:tcPr>
          <w:p w:rsidR="00586159" w:rsidRDefault="00F67B61" w:rsidP="00F67B61">
            <w:r>
              <w:t>Written R</w:t>
            </w:r>
            <w:r w:rsidR="00631CF1">
              <w:t xml:space="preserve">eport </w:t>
            </w:r>
            <w:r>
              <w:t>with Verbal U</w:t>
            </w:r>
            <w:r w:rsidR="00631CF1">
              <w:t>pdate</w:t>
            </w:r>
          </w:p>
        </w:tc>
        <w:tc>
          <w:tcPr>
            <w:tcW w:w="2311" w:type="dxa"/>
          </w:tcPr>
          <w:p w:rsidR="00586159" w:rsidRDefault="00631CF1">
            <w:r>
              <w:t>Quarterly</w:t>
            </w:r>
          </w:p>
        </w:tc>
      </w:tr>
      <w:tr w:rsidR="001976AA" w:rsidTr="00407CBD">
        <w:tc>
          <w:tcPr>
            <w:tcW w:w="2310" w:type="dxa"/>
            <w:shd w:val="clear" w:color="auto" w:fill="FFFFFF" w:themeFill="background1"/>
          </w:tcPr>
          <w:p w:rsidR="001976AA" w:rsidRDefault="001976AA">
            <w:r>
              <w:t>Adult Learning Group</w:t>
            </w:r>
            <w:r w:rsidR="00130A69">
              <w:t xml:space="preserve"> (City)</w:t>
            </w:r>
          </w:p>
        </w:tc>
        <w:tc>
          <w:tcPr>
            <w:tcW w:w="2310" w:type="dxa"/>
            <w:shd w:val="clear" w:color="auto" w:fill="FFFFFF" w:themeFill="background1"/>
          </w:tcPr>
          <w:p w:rsidR="001976AA" w:rsidRDefault="00EC3DAB">
            <w:r>
              <w:t>GCLDSP</w:t>
            </w:r>
          </w:p>
        </w:tc>
        <w:tc>
          <w:tcPr>
            <w:tcW w:w="2311" w:type="dxa"/>
            <w:shd w:val="clear" w:color="auto" w:fill="FFFFFF" w:themeFill="background1"/>
          </w:tcPr>
          <w:p w:rsidR="001976AA" w:rsidRDefault="00F30BBA" w:rsidP="00F67B61">
            <w:r>
              <w:t>Verbal Update</w:t>
            </w:r>
            <w:r w:rsidR="001A3E5F">
              <w:t>s</w:t>
            </w:r>
          </w:p>
          <w:p w:rsidR="00923F42" w:rsidRDefault="00923F42" w:rsidP="00F67B61">
            <w:r>
              <w:t>CBAL Themed Reports</w:t>
            </w:r>
          </w:p>
        </w:tc>
        <w:tc>
          <w:tcPr>
            <w:tcW w:w="2311" w:type="dxa"/>
            <w:shd w:val="clear" w:color="auto" w:fill="FFFFFF" w:themeFill="background1"/>
          </w:tcPr>
          <w:p w:rsidR="001976AA" w:rsidRDefault="00F30BBA" w:rsidP="001976AA">
            <w:r>
              <w:t>Quarterly</w:t>
            </w:r>
          </w:p>
        </w:tc>
      </w:tr>
      <w:tr w:rsidR="00044FDC" w:rsidTr="00044FDC">
        <w:tc>
          <w:tcPr>
            <w:tcW w:w="2310" w:type="dxa"/>
            <w:shd w:val="clear" w:color="auto" w:fill="auto"/>
          </w:tcPr>
          <w:p w:rsidR="00044FDC" w:rsidRDefault="00044FDC" w:rsidP="00631CF1">
            <w:r>
              <w:t>Area Adult Learning Groups</w:t>
            </w:r>
          </w:p>
          <w:p w:rsidR="00044FDC" w:rsidRDefault="00044FDC" w:rsidP="00631CF1">
            <w:pPr>
              <w:pStyle w:val="ListParagraph"/>
              <w:numPr>
                <w:ilvl w:val="0"/>
                <w:numId w:val="8"/>
              </w:numPr>
            </w:pPr>
            <w:r>
              <w:t>NE</w:t>
            </w:r>
          </w:p>
          <w:p w:rsidR="00044FDC" w:rsidRDefault="00044FDC" w:rsidP="00631CF1">
            <w:pPr>
              <w:pStyle w:val="ListParagraph"/>
              <w:numPr>
                <w:ilvl w:val="0"/>
                <w:numId w:val="8"/>
              </w:numPr>
            </w:pPr>
            <w:r>
              <w:t>NW</w:t>
            </w:r>
          </w:p>
          <w:p w:rsidR="00044FDC" w:rsidRDefault="00044FDC" w:rsidP="00631CF1">
            <w:pPr>
              <w:pStyle w:val="ListParagraph"/>
              <w:numPr>
                <w:ilvl w:val="0"/>
                <w:numId w:val="8"/>
              </w:numPr>
            </w:pPr>
            <w:r>
              <w:t>South</w:t>
            </w:r>
          </w:p>
        </w:tc>
        <w:tc>
          <w:tcPr>
            <w:tcW w:w="2310" w:type="dxa"/>
            <w:shd w:val="clear" w:color="auto" w:fill="auto"/>
          </w:tcPr>
          <w:p w:rsidR="00044FDC" w:rsidRDefault="00044FDC" w:rsidP="001976AA">
            <w:r>
              <w:t>Adult Learning Group (City)</w:t>
            </w:r>
          </w:p>
        </w:tc>
        <w:tc>
          <w:tcPr>
            <w:tcW w:w="2311" w:type="dxa"/>
            <w:shd w:val="clear" w:color="auto" w:fill="auto"/>
          </w:tcPr>
          <w:p w:rsidR="00044FDC" w:rsidRDefault="00044FDC" w:rsidP="00DA2F22">
            <w:r>
              <w:t xml:space="preserve">Verbal Updates to </w:t>
            </w:r>
            <w:r w:rsidRPr="0044706C">
              <w:t>Adult Learning Group (City)</w:t>
            </w:r>
            <w:r>
              <w:t xml:space="preserve"> </w:t>
            </w:r>
          </w:p>
          <w:p w:rsidR="00044FDC" w:rsidRDefault="00044FDC" w:rsidP="00DA2F22">
            <w:r>
              <w:t xml:space="preserve">Meeting papers distributed through area networks </w:t>
            </w:r>
          </w:p>
        </w:tc>
        <w:tc>
          <w:tcPr>
            <w:tcW w:w="2311" w:type="dxa"/>
            <w:shd w:val="clear" w:color="auto" w:fill="auto"/>
          </w:tcPr>
          <w:p w:rsidR="00044FDC" w:rsidRDefault="00044FDC" w:rsidP="00DA2F22">
            <w:r w:rsidRPr="0044706C">
              <w:t>Quarterly</w:t>
            </w:r>
          </w:p>
        </w:tc>
      </w:tr>
    </w:tbl>
    <w:p w:rsidR="00BC37C9" w:rsidRPr="00180C20" w:rsidRDefault="00FC4EEF" w:rsidP="00736CAD">
      <w:pPr>
        <w:rPr>
          <w:i/>
        </w:rPr>
      </w:pPr>
      <w:r w:rsidRPr="00180C20">
        <w:rPr>
          <w:i/>
        </w:rPr>
        <w:t>*Proposed governance arrangements for CLD Plan 2018-21 to be ratified by GCPP.</w:t>
      </w:r>
    </w:p>
    <w:sectPr w:rsidR="00BC37C9" w:rsidRPr="0018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2C5E"/>
    <w:multiLevelType w:val="hybridMultilevel"/>
    <w:tmpl w:val="C17652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A1AFF"/>
    <w:multiLevelType w:val="hybridMultilevel"/>
    <w:tmpl w:val="C83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97675"/>
    <w:multiLevelType w:val="hybridMultilevel"/>
    <w:tmpl w:val="93C09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705891"/>
    <w:multiLevelType w:val="hybridMultilevel"/>
    <w:tmpl w:val="E842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E80EDD"/>
    <w:multiLevelType w:val="hybridMultilevel"/>
    <w:tmpl w:val="E3D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81510"/>
    <w:multiLevelType w:val="hybridMultilevel"/>
    <w:tmpl w:val="8144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11585"/>
    <w:multiLevelType w:val="multilevel"/>
    <w:tmpl w:val="9B0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04658"/>
    <w:multiLevelType w:val="hybridMultilevel"/>
    <w:tmpl w:val="B4CC9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394121"/>
    <w:multiLevelType w:val="hybridMultilevel"/>
    <w:tmpl w:val="8D06C77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9">
    <w:nsid w:val="380B354D"/>
    <w:multiLevelType w:val="multilevel"/>
    <w:tmpl w:val="86A25D6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02853"/>
    <w:multiLevelType w:val="hybridMultilevel"/>
    <w:tmpl w:val="3FBC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BD664A"/>
    <w:multiLevelType w:val="hybridMultilevel"/>
    <w:tmpl w:val="C5E20C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F941F4"/>
    <w:multiLevelType w:val="hybridMultilevel"/>
    <w:tmpl w:val="7FF6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295A47"/>
    <w:multiLevelType w:val="hybridMultilevel"/>
    <w:tmpl w:val="43BE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0D6347"/>
    <w:multiLevelType w:val="hybridMultilevel"/>
    <w:tmpl w:val="ABD8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2A76A9"/>
    <w:multiLevelType w:val="hybridMultilevel"/>
    <w:tmpl w:val="D212B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0948B5"/>
    <w:multiLevelType w:val="hybridMultilevel"/>
    <w:tmpl w:val="3AEC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0C207B"/>
    <w:multiLevelType w:val="hybridMultilevel"/>
    <w:tmpl w:val="854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0F42F7"/>
    <w:multiLevelType w:val="hybridMultilevel"/>
    <w:tmpl w:val="810A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1393B"/>
    <w:multiLevelType w:val="hybridMultilevel"/>
    <w:tmpl w:val="8D7AF7CE"/>
    <w:lvl w:ilvl="0" w:tplc="1AD0DD54">
      <w:start w:val="1"/>
      <w:numFmt w:val="bullet"/>
      <w:lvlText w:val="•"/>
      <w:lvlJc w:val="left"/>
      <w:pPr>
        <w:tabs>
          <w:tab w:val="num" w:pos="720"/>
        </w:tabs>
        <w:ind w:left="720" w:hanging="360"/>
      </w:pPr>
      <w:rPr>
        <w:rFonts w:ascii="Arial" w:hAnsi="Arial" w:hint="default"/>
      </w:rPr>
    </w:lvl>
    <w:lvl w:ilvl="1" w:tplc="988837F6" w:tentative="1">
      <w:start w:val="1"/>
      <w:numFmt w:val="bullet"/>
      <w:lvlText w:val="•"/>
      <w:lvlJc w:val="left"/>
      <w:pPr>
        <w:tabs>
          <w:tab w:val="num" w:pos="1440"/>
        </w:tabs>
        <w:ind w:left="1440" w:hanging="360"/>
      </w:pPr>
      <w:rPr>
        <w:rFonts w:ascii="Arial" w:hAnsi="Arial" w:hint="default"/>
      </w:rPr>
    </w:lvl>
    <w:lvl w:ilvl="2" w:tplc="65829028" w:tentative="1">
      <w:start w:val="1"/>
      <w:numFmt w:val="bullet"/>
      <w:lvlText w:val="•"/>
      <w:lvlJc w:val="left"/>
      <w:pPr>
        <w:tabs>
          <w:tab w:val="num" w:pos="2160"/>
        </w:tabs>
        <w:ind w:left="2160" w:hanging="360"/>
      </w:pPr>
      <w:rPr>
        <w:rFonts w:ascii="Arial" w:hAnsi="Arial" w:hint="default"/>
      </w:rPr>
    </w:lvl>
    <w:lvl w:ilvl="3" w:tplc="EF7E72B0" w:tentative="1">
      <w:start w:val="1"/>
      <w:numFmt w:val="bullet"/>
      <w:lvlText w:val="•"/>
      <w:lvlJc w:val="left"/>
      <w:pPr>
        <w:tabs>
          <w:tab w:val="num" w:pos="2880"/>
        </w:tabs>
        <w:ind w:left="2880" w:hanging="360"/>
      </w:pPr>
      <w:rPr>
        <w:rFonts w:ascii="Arial" w:hAnsi="Arial" w:hint="default"/>
      </w:rPr>
    </w:lvl>
    <w:lvl w:ilvl="4" w:tplc="615EC090" w:tentative="1">
      <w:start w:val="1"/>
      <w:numFmt w:val="bullet"/>
      <w:lvlText w:val="•"/>
      <w:lvlJc w:val="left"/>
      <w:pPr>
        <w:tabs>
          <w:tab w:val="num" w:pos="3600"/>
        </w:tabs>
        <w:ind w:left="3600" w:hanging="360"/>
      </w:pPr>
      <w:rPr>
        <w:rFonts w:ascii="Arial" w:hAnsi="Arial" w:hint="default"/>
      </w:rPr>
    </w:lvl>
    <w:lvl w:ilvl="5" w:tplc="F7423464" w:tentative="1">
      <w:start w:val="1"/>
      <w:numFmt w:val="bullet"/>
      <w:lvlText w:val="•"/>
      <w:lvlJc w:val="left"/>
      <w:pPr>
        <w:tabs>
          <w:tab w:val="num" w:pos="4320"/>
        </w:tabs>
        <w:ind w:left="4320" w:hanging="360"/>
      </w:pPr>
      <w:rPr>
        <w:rFonts w:ascii="Arial" w:hAnsi="Arial" w:hint="default"/>
      </w:rPr>
    </w:lvl>
    <w:lvl w:ilvl="6" w:tplc="6ECC2652" w:tentative="1">
      <w:start w:val="1"/>
      <w:numFmt w:val="bullet"/>
      <w:lvlText w:val="•"/>
      <w:lvlJc w:val="left"/>
      <w:pPr>
        <w:tabs>
          <w:tab w:val="num" w:pos="5040"/>
        </w:tabs>
        <w:ind w:left="5040" w:hanging="360"/>
      </w:pPr>
      <w:rPr>
        <w:rFonts w:ascii="Arial" w:hAnsi="Arial" w:hint="default"/>
      </w:rPr>
    </w:lvl>
    <w:lvl w:ilvl="7" w:tplc="7726584E" w:tentative="1">
      <w:start w:val="1"/>
      <w:numFmt w:val="bullet"/>
      <w:lvlText w:val="•"/>
      <w:lvlJc w:val="left"/>
      <w:pPr>
        <w:tabs>
          <w:tab w:val="num" w:pos="5760"/>
        </w:tabs>
        <w:ind w:left="5760" w:hanging="360"/>
      </w:pPr>
      <w:rPr>
        <w:rFonts w:ascii="Arial" w:hAnsi="Arial" w:hint="default"/>
      </w:rPr>
    </w:lvl>
    <w:lvl w:ilvl="8" w:tplc="38FC8CF0" w:tentative="1">
      <w:start w:val="1"/>
      <w:numFmt w:val="bullet"/>
      <w:lvlText w:val="•"/>
      <w:lvlJc w:val="left"/>
      <w:pPr>
        <w:tabs>
          <w:tab w:val="num" w:pos="6480"/>
        </w:tabs>
        <w:ind w:left="6480" w:hanging="360"/>
      </w:pPr>
      <w:rPr>
        <w:rFonts w:ascii="Arial" w:hAnsi="Arial" w:hint="default"/>
      </w:rPr>
    </w:lvl>
  </w:abstractNum>
  <w:abstractNum w:abstractNumId="20">
    <w:nsid w:val="7C6E5AC4"/>
    <w:multiLevelType w:val="hybridMultilevel"/>
    <w:tmpl w:val="CC8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4"/>
  </w:num>
  <w:num w:numId="4">
    <w:abstractNumId w:val="15"/>
  </w:num>
  <w:num w:numId="5">
    <w:abstractNumId w:val="5"/>
  </w:num>
  <w:num w:numId="6">
    <w:abstractNumId w:val="11"/>
  </w:num>
  <w:num w:numId="7">
    <w:abstractNumId w:val="17"/>
  </w:num>
  <w:num w:numId="8">
    <w:abstractNumId w:val="16"/>
  </w:num>
  <w:num w:numId="9">
    <w:abstractNumId w:val="19"/>
  </w:num>
  <w:num w:numId="10">
    <w:abstractNumId w:val="0"/>
  </w:num>
  <w:num w:numId="11">
    <w:abstractNumId w:val="9"/>
  </w:num>
  <w:num w:numId="12">
    <w:abstractNumId w:val="10"/>
  </w:num>
  <w:num w:numId="13">
    <w:abstractNumId w:val="3"/>
  </w:num>
  <w:num w:numId="14">
    <w:abstractNumId w:val="6"/>
  </w:num>
  <w:num w:numId="15">
    <w:abstractNumId w:val="4"/>
  </w:num>
  <w:num w:numId="16">
    <w:abstractNumId w:val="8"/>
  </w:num>
  <w:num w:numId="17">
    <w:abstractNumId w:val="2"/>
  </w:num>
  <w:num w:numId="18">
    <w:abstractNumId w:val="7"/>
  </w:num>
  <w:num w:numId="19">
    <w:abstractNumId w:val="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92"/>
    <w:rsid w:val="0001589C"/>
    <w:rsid w:val="00025242"/>
    <w:rsid w:val="00044FDC"/>
    <w:rsid w:val="000525C9"/>
    <w:rsid w:val="000574E5"/>
    <w:rsid w:val="000C148B"/>
    <w:rsid w:val="000D5949"/>
    <w:rsid w:val="001029C0"/>
    <w:rsid w:val="00125595"/>
    <w:rsid w:val="00130A69"/>
    <w:rsid w:val="001720CC"/>
    <w:rsid w:val="00180C20"/>
    <w:rsid w:val="001976AA"/>
    <w:rsid w:val="001A3E5F"/>
    <w:rsid w:val="001A690E"/>
    <w:rsid w:val="00205E96"/>
    <w:rsid w:val="00210733"/>
    <w:rsid w:val="0023740F"/>
    <w:rsid w:val="00261E17"/>
    <w:rsid w:val="00263984"/>
    <w:rsid w:val="00280A96"/>
    <w:rsid w:val="00293B4C"/>
    <w:rsid w:val="0029495B"/>
    <w:rsid w:val="002A2DAD"/>
    <w:rsid w:val="002B4B66"/>
    <w:rsid w:val="002E4A54"/>
    <w:rsid w:val="002F1563"/>
    <w:rsid w:val="002F3018"/>
    <w:rsid w:val="002F445C"/>
    <w:rsid w:val="00305968"/>
    <w:rsid w:val="003327DD"/>
    <w:rsid w:val="00364C54"/>
    <w:rsid w:val="0037159A"/>
    <w:rsid w:val="00372539"/>
    <w:rsid w:val="003822B0"/>
    <w:rsid w:val="003A5F09"/>
    <w:rsid w:val="003B63B1"/>
    <w:rsid w:val="003C781F"/>
    <w:rsid w:val="00402E46"/>
    <w:rsid w:val="00407CBD"/>
    <w:rsid w:val="00421B3F"/>
    <w:rsid w:val="00437251"/>
    <w:rsid w:val="00452AAF"/>
    <w:rsid w:val="00490DAF"/>
    <w:rsid w:val="00492F0C"/>
    <w:rsid w:val="004F02D9"/>
    <w:rsid w:val="00534C8C"/>
    <w:rsid w:val="0056678F"/>
    <w:rsid w:val="00586159"/>
    <w:rsid w:val="00587D1D"/>
    <w:rsid w:val="005B64B4"/>
    <w:rsid w:val="005E6434"/>
    <w:rsid w:val="005E6BCE"/>
    <w:rsid w:val="00631CF1"/>
    <w:rsid w:val="00637BF7"/>
    <w:rsid w:val="00656083"/>
    <w:rsid w:val="00674961"/>
    <w:rsid w:val="00677F8C"/>
    <w:rsid w:val="00697821"/>
    <w:rsid w:val="006B3DDF"/>
    <w:rsid w:val="006B6D92"/>
    <w:rsid w:val="006F3CE6"/>
    <w:rsid w:val="00715A79"/>
    <w:rsid w:val="00736CAD"/>
    <w:rsid w:val="00770487"/>
    <w:rsid w:val="007845A8"/>
    <w:rsid w:val="007A1F76"/>
    <w:rsid w:val="007E36A4"/>
    <w:rsid w:val="00836D57"/>
    <w:rsid w:val="008502D4"/>
    <w:rsid w:val="008A4FB9"/>
    <w:rsid w:val="008B1672"/>
    <w:rsid w:val="008C5892"/>
    <w:rsid w:val="008E0F70"/>
    <w:rsid w:val="008F5165"/>
    <w:rsid w:val="00903109"/>
    <w:rsid w:val="00923F42"/>
    <w:rsid w:val="009601A1"/>
    <w:rsid w:val="009648B4"/>
    <w:rsid w:val="009665CC"/>
    <w:rsid w:val="00967606"/>
    <w:rsid w:val="00972C7C"/>
    <w:rsid w:val="00983207"/>
    <w:rsid w:val="009B3449"/>
    <w:rsid w:val="00A03E26"/>
    <w:rsid w:val="00A03F96"/>
    <w:rsid w:val="00A0626E"/>
    <w:rsid w:val="00A56425"/>
    <w:rsid w:val="00A86ECC"/>
    <w:rsid w:val="00A92983"/>
    <w:rsid w:val="00AA792E"/>
    <w:rsid w:val="00AE4B29"/>
    <w:rsid w:val="00B11F6E"/>
    <w:rsid w:val="00B554D3"/>
    <w:rsid w:val="00B57ED6"/>
    <w:rsid w:val="00B81918"/>
    <w:rsid w:val="00B85514"/>
    <w:rsid w:val="00BA0278"/>
    <w:rsid w:val="00BA6609"/>
    <w:rsid w:val="00BC37C9"/>
    <w:rsid w:val="00C113AC"/>
    <w:rsid w:val="00C40EC5"/>
    <w:rsid w:val="00C432A9"/>
    <w:rsid w:val="00C467FE"/>
    <w:rsid w:val="00C57085"/>
    <w:rsid w:val="00C742C5"/>
    <w:rsid w:val="00CC1F1D"/>
    <w:rsid w:val="00CF318E"/>
    <w:rsid w:val="00D10AC3"/>
    <w:rsid w:val="00D17895"/>
    <w:rsid w:val="00D539C5"/>
    <w:rsid w:val="00D760AD"/>
    <w:rsid w:val="00D96E2B"/>
    <w:rsid w:val="00DD04F0"/>
    <w:rsid w:val="00DD7871"/>
    <w:rsid w:val="00DF385E"/>
    <w:rsid w:val="00E25435"/>
    <w:rsid w:val="00E45664"/>
    <w:rsid w:val="00E57433"/>
    <w:rsid w:val="00E710CE"/>
    <w:rsid w:val="00E97972"/>
    <w:rsid w:val="00EC3DAB"/>
    <w:rsid w:val="00EC601C"/>
    <w:rsid w:val="00EE0105"/>
    <w:rsid w:val="00EF6B15"/>
    <w:rsid w:val="00F30BBA"/>
    <w:rsid w:val="00F6509D"/>
    <w:rsid w:val="00F67B61"/>
    <w:rsid w:val="00F70482"/>
    <w:rsid w:val="00F72494"/>
    <w:rsid w:val="00F83329"/>
    <w:rsid w:val="00F848B5"/>
    <w:rsid w:val="00F9549A"/>
    <w:rsid w:val="00F966F0"/>
    <w:rsid w:val="00FB0ADC"/>
    <w:rsid w:val="00FB10F0"/>
    <w:rsid w:val="00FC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54990-5E62-4BB4-9E44-45ABE06A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D92"/>
    <w:pPr>
      <w:ind w:left="720"/>
      <w:contextualSpacing/>
    </w:pPr>
  </w:style>
  <w:style w:type="paragraph" w:styleId="BalloonText">
    <w:name w:val="Balloon Text"/>
    <w:basedOn w:val="Normal"/>
    <w:link w:val="BalloonTextChar"/>
    <w:uiPriority w:val="99"/>
    <w:semiHidden/>
    <w:unhideWhenUsed/>
    <w:rsid w:val="0083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57"/>
    <w:rPr>
      <w:rFonts w:ascii="Tahoma" w:hAnsi="Tahoma" w:cs="Tahoma"/>
      <w:sz w:val="16"/>
      <w:szCs w:val="16"/>
    </w:rPr>
  </w:style>
  <w:style w:type="character" w:styleId="Strong">
    <w:name w:val="Strong"/>
    <w:basedOn w:val="DefaultParagraphFont"/>
    <w:uiPriority w:val="22"/>
    <w:qFormat/>
    <w:rsid w:val="00DF3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598">
      <w:bodyDiv w:val="1"/>
      <w:marLeft w:val="0"/>
      <w:marRight w:val="0"/>
      <w:marTop w:val="0"/>
      <w:marBottom w:val="0"/>
      <w:divBdr>
        <w:top w:val="none" w:sz="0" w:space="0" w:color="auto"/>
        <w:left w:val="none" w:sz="0" w:space="0" w:color="auto"/>
        <w:bottom w:val="none" w:sz="0" w:space="0" w:color="auto"/>
        <w:right w:val="none" w:sz="0" w:space="0" w:color="auto"/>
      </w:divBdr>
    </w:div>
    <w:div w:id="1037660801">
      <w:bodyDiv w:val="1"/>
      <w:marLeft w:val="0"/>
      <w:marRight w:val="0"/>
      <w:marTop w:val="0"/>
      <w:marBottom w:val="0"/>
      <w:divBdr>
        <w:top w:val="none" w:sz="0" w:space="0" w:color="auto"/>
        <w:left w:val="none" w:sz="0" w:space="0" w:color="auto"/>
        <w:bottom w:val="none" w:sz="0" w:space="0" w:color="auto"/>
        <w:right w:val="none" w:sz="0" w:space="0" w:color="auto"/>
      </w:divBdr>
    </w:div>
    <w:div w:id="1123692958">
      <w:bodyDiv w:val="1"/>
      <w:marLeft w:val="0"/>
      <w:marRight w:val="0"/>
      <w:marTop w:val="0"/>
      <w:marBottom w:val="0"/>
      <w:divBdr>
        <w:top w:val="none" w:sz="0" w:space="0" w:color="auto"/>
        <w:left w:val="none" w:sz="0" w:space="0" w:color="auto"/>
        <w:bottom w:val="none" w:sz="0" w:space="0" w:color="auto"/>
        <w:right w:val="none" w:sz="0" w:space="0" w:color="auto"/>
      </w:divBdr>
      <w:divsChild>
        <w:div w:id="43986536">
          <w:marLeft w:val="547"/>
          <w:marRight w:val="0"/>
          <w:marTop w:val="96"/>
          <w:marBottom w:val="0"/>
          <w:divBdr>
            <w:top w:val="none" w:sz="0" w:space="0" w:color="auto"/>
            <w:left w:val="none" w:sz="0" w:space="0" w:color="auto"/>
            <w:bottom w:val="none" w:sz="0" w:space="0" w:color="auto"/>
            <w:right w:val="none" w:sz="0" w:space="0" w:color="auto"/>
          </w:divBdr>
        </w:div>
        <w:div w:id="204680469">
          <w:marLeft w:val="547"/>
          <w:marRight w:val="0"/>
          <w:marTop w:val="96"/>
          <w:marBottom w:val="0"/>
          <w:divBdr>
            <w:top w:val="none" w:sz="0" w:space="0" w:color="auto"/>
            <w:left w:val="none" w:sz="0" w:space="0" w:color="auto"/>
            <w:bottom w:val="none" w:sz="0" w:space="0" w:color="auto"/>
            <w:right w:val="none" w:sz="0" w:space="0" w:color="auto"/>
          </w:divBdr>
        </w:div>
        <w:div w:id="439491036">
          <w:marLeft w:val="547"/>
          <w:marRight w:val="0"/>
          <w:marTop w:val="96"/>
          <w:marBottom w:val="0"/>
          <w:divBdr>
            <w:top w:val="none" w:sz="0" w:space="0" w:color="auto"/>
            <w:left w:val="none" w:sz="0" w:space="0" w:color="auto"/>
            <w:bottom w:val="none" w:sz="0" w:space="0" w:color="auto"/>
            <w:right w:val="none" w:sz="0" w:space="0" w:color="auto"/>
          </w:divBdr>
        </w:div>
        <w:div w:id="266474143">
          <w:marLeft w:val="547"/>
          <w:marRight w:val="0"/>
          <w:marTop w:val="96"/>
          <w:marBottom w:val="0"/>
          <w:divBdr>
            <w:top w:val="none" w:sz="0" w:space="0" w:color="auto"/>
            <w:left w:val="none" w:sz="0" w:space="0" w:color="auto"/>
            <w:bottom w:val="none" w:sz="0" w:space="0" w:color="auto"/>
            <w:right w:val="none" w:sz="0" w:space="0" w:color="auto"/>
          </w:divBdr>
        </w:div>
        <w:div w:id="2080979256">
          <w:marLeft w:val="547"/>
          <w:marRight w:val="0"/>
          <w:marTop w:val="96"/>
          <w:marBottom w:val="0"/>
          <w:divBdr>
            <w:top w:val="none" w:sz="0" w:space="0" w:color="auto"/>
            <w:left w:val="none" w:sz="0" w:space="0" w:color="auto"/>
            <w:bottom w:val="none" w:sz="0" w:space="0" w:color="auto"/>
            <w:right w:val="none" w:sz="0" w:space="0" w:color="auto"/>
          </w:divBdr>
        </w:div>
      </w:divsChild>
    </w:div>
    <w:div w:id="1349718784">
      <w:bodyDiv w:val="1"/>
      <w:marLeft w:val="0"/>
      <w:marRight w:val="0"/>
      <w:marTop w:val="0"/>
      <w:marBottom w:val="0"/>
      <w:divBdr>
        <w:top w:val="none" w:sz="0" w:space="0" w:color="auto"/>
        <w:left w:val="none" w:sz="0" w:space="0" w:color="auto"/>
        <w:bottom w:val="none" w:sz="0" w:space="0" w:color="auto"/>
        <w:right w:val="none" w:sz="0" w:space="0" w:color="auto"/>
      </w:divBdr>
      <w:divsChild>
        <w:div w:id="321009957">
          <w:marLeft w:val="0"/>
          <w:marRight w:val="0"/>
          <w:marTop w:val="0"/>
          <w:marBottom w:val="0"/>
          <w:divBdr>
            <w:top w:val="none" w:sz="0" w:space="0" w:color="auto"/>
            <w:left w:val="none" w:sz="0" w:space="0" w:color="auto"/>
            <w:bottom w:val="none" w:sz="0" w:space="0" w:color="auto"/>
            <w:right w:val="none" w:sz="0" w:space="0" w:color="auto"/>
          </w:divBdr>
          <w:divsChild>
            <w:div w:id="1144931363">
              <w:marLeft w:val="0"/>
              <w:marRight w:val="0"/>
              <w:marTop w:val="0"/>
              <w:marBottom w:val="0"/>
              <w:divBdr>
                <w:top w:val="none" w:sz="0" w:space="0" w:color="auto"/>
                <w:left w:val="none" w:sz="0" w:space="0" w:color="auto"/>
                <w:bottom w:val="none" w:sz="0" w:space="0" w:color="auto"/>
                <w:right w:val="none" w:sz="0" w:space="0" w:color="auto"/>
              </w:divBdr>
              <w:divsChild>
                <w:div w:id="1043138165">
                  <w:marLeft w:val="0"/>
                  <w:marRight w:val="0"/>
                  <w:marTop w:val="0"/>
                  <w:marBottom w:val="0"/>
                  <w:divBdr>
                    <w:top w:val="none" w:sz="0" w:space="0" w:color="auto"/>
                    <w:left w:val="none" w:sz="0" w:space="0" w:color="auto"/>
                    <w:bottom w:val="none" w:sz="0" w:space="0" w:color="auto"/>
                    <w:right w:val="none" w:sz="0" w:space="0" w:color="auto"/>
                  </w:divBdr>
                  <w:divsChild>
                    <w:div w:id="1837962350">
                      <w:marLeft w:val="0"/>
                      <w:marRight w:val="0"/>
                      <w:marTop w:val="0"/>
                      <w:marBottom w:val="0"/>
                      <w:divBdr>
                        <w:top w:val="none" w:sz="0" w:space="0" w:color="auto"/>
                        <w:left w:val="none" w:sz="0" w:space="0" w:color="auto"/>
                        <w:bottom w:val="none" w:sz="0" w:space="0" w:color="auto"/>
                        <w:right w:val="none" w:sz="0" w:space="0" w:color="auto"/>
                      </w:divBdr>
                      <w:divsChild>
                        <w:div w:id="1156919506">
                          <w:marLeft w:val="0"/>
                          <w:marRight w:val="0"/>
                          <w:marTop w:val="0"/>
                          <w:marBottom w:val="0"/>
                          <w:divBdr>
                            <w:top w:val="none" w:sz="0" w:space="0" w:color="auto"/>
                            <w:left w:val="none" w:sz="0" w:space="0" w:color="auto"/>
                            <w:bottom w:val="none" w:sz="0" w:space="0" w:color="auto"/>
                            <w:right w:val="none" w:sz="0" w:space="0" w:color="auto"/>
                          </w:divBdr>
                          <w:divsChild>
                            <w:div w:id="20454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85472">
      <w:bodyDiv w:val="1"/>
      <w:marLeft w:val="0"/>
      <w:marRight w:val="0"/>
      <w:marTop w:val="0"/>
      <w:marBottom w:val="0"/>
      <w:divBdr>
        <w:top w:val="none" w:sz="0" w:space="0" w:color="auto"/>
        <w:left w:val="none" w:sz="0" w:space="0" w:color="auto"/>
        <w:bottom w:val="none" w:sz="0" w:space="0" w:color="auto"/>
        <w:right w:val="none" w:sz="0" w:space="0" w:color="auto"/>
      </w:divBdr>
    </w:div>
    <w:div w:id="1811165677">
      <w:bodyDiv w:val="1"/>
      <w:marLeft w:val="0"/>
      <w:marRight w:val="0"/>
      <w:marTop w:val="0"/>
      <w:marBottom w:val="0"/>
      <w:divBdr>
        <w:top w:val="none" w:sz="0" w:space="0" w:color="auto"/>
        <w:left w:val="none" w:sz="0" w:space="0" w:color="auto"/>
        <w:bottom w:val="none" w:sz="0" w:space="0" w:color="auto"/>
        <w:right w:val="none" w:sz="0" w:space="0" w:color="auto"/>
      </w:divBdr>
      <w:divsChild>
        <w:div w:id="441847438">
          <w:marLeft w:val="0"/>
          <w:marRight w:val="0"/>
          <w:marTop w:val="0"/>
          <w:marBottom w:val="0"/>
          <w:divBdr>
            <w:top w:val="none" w:sz="0" w:space="0" w:color="auto"/>
            <w:left w:val="none" w:sz="0" w:space="0" w:color="auto"/>
            <w:bottom w:val="none" w:sz="0" w:space="0" w:color="auto"/>
            <w:right w:val="none" w:sz="0" w:space="0" w:color="auto"/>
          </w:divBdr>
          <w:divsChild>
            <w:div w:id="611981221">
              <w:marLeft w:val="0"/>
              <w:marRight w:val="0"/>
              <w:marTop w:val="0"/>
              <w:marBottom w:val="0"/>
              <w:divBdr>
                <w:top w:val="none" w:sz="0" w:space="0" w:color="auto"/>
                <w:left w:val="none" w:sz="0" w:space="0" w:color="auto"/>
                <w:bottom w:val="none" w:sz="0" w:space="0" w:color="auto"/>
                <w:right w:val="none" w:sz="0" w:space="0" w:color="auto"/>
              </w:divBdr>
              <w:divsChild>
                <w:div w:id="292292272">
                  <w:marLeft w:val="0"/>
                  <w:marRight w:val="0"/>
                  <w:marTop w:val="0"/>
                  <w:marBottom w:val="0"/>
                  <w:divBdr>
                    <w:top w:val="none" w:sz="0" w:space="0" w:color="auto"/>
                    <w:left w:val="none" w:sz="0" w:space="0" w:color="auto"/>
                    <w:bottom w:val="none" w:sz="0" w:space="0" w:color="auto"/>
                    <w:right w:val="none" w:sz="0" w:space="0" w:color="auto"/>
                  </w:divBdr>
                  <w:divsChild>
                    <w:div w:id="8871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Willoughby, Coleen</dc:creator>
  <cp:lastModifiedBy>McMillan, Andrea</cp:lastModifiedBy>
  <cp:revision>2</cp:revision>
  <dcterms:created xsi:type="dcterms:W3CDTF">2018-04-11T08:15:00Z</dcterms:created>
  <dcterms:modified xsi:type="dcterms:W3CDTF">2018-04-11T08:15:00Z</dcterms:modified>
</cp:coreProperties>
</file>