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A8" w:rsidRPr="00CB7EEA" w:rsidRDefault="006906A8" w:rsidP="006906A8">
      <w:pPr>
        <w:rPr>
          <w:noProof/>
          <w:szCs w:val="20"/>
        </w:rPr>
      </w:pPr>
      <w:r w:rsidRPr="00CB7EEA">
        <w:rPr>
          <w:noProof/>
          <w:szCs w:val="20"/>
        </w:rPr>
        <mc:AlternateContent>
          <mc:Choice Requires="wps">
            <w:drawing>
              <wp:anchor distT="0" distB="0" distL="114300" distR="114300" simplePos="0" relativeHeight="251659264" behindDoc="0" locked="1" layoutInCell="1" allowOverlap="1" wp14:anchorId="6EDA48B6" wp14:editId="47246ADF">
                <wp:simplePos x="0" y="0"/>
                <wp:positionH relativeFrom="column">
                  <wp:posOffset>3964305</wp:posOffset>
                </wp:positionH>
                <wp:positionV relativeFrom="paragraph">
                  <wp:posOffset>-295275</wp:posOffset>
                </wp:positionV>
                <wp:extent cx="2011680" cy="1063625"/>
                <wp:effectExtent l="0" t="0" r="63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6A8" w:rsidRDefault="006906A8" w:rsidP="006906A8">
                            <w:r w:rsidRPr="002C4A82">
                              <w:rPr>
                                <w:noProof/>
                              </w:rPr>
                              <w:drawing>
                                <wp:inline distT="0" distB="0" distL="0" distR="0" wp14:anchorId="49B07FA6" wp14:editId="131DEC6F">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A48B6" id="_x0000_t202" coordsize="21600,21600" o:spt="202" path="m,l,21600r21600,l21600,xe">
                <v:stroke joinstyle="miter"/>
                <v:path gradientshapeok="t" o:connecttype="rect"/>
              </v:shapetype>
              <v:shape id="Text Box 6" o:spid="_x0000_s1026" type="#_x0000_t202" style="position:absolute;margin-left:312.15pt;margin-top:-23.25pt;width:158.4pt;height:8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" stroked="f">
                <v:textbox style="mso-fit-shape-to-text:t">
                  <w:txbxContent>
                    <w:p w:rsidR="006906A8" w:rsidRDefault="006906A8" w:rsidP="006906A8">
                      <w:r w:rsidRPr="002C4A82">
                        <w:rPr>
                          <w:noProof/>
                        </w:rPr>
                        <w:drawing>
                          <wp:inline distT="0" distB="0" distL="0" distR="0" wp14:anchorId="49B07FA6" wp14:editId="131DEC6F">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v:textbox>
                <w10:anchorlock/>
              </v:shape>
            </w:pict>
          </mc:Fallback>
        </mc:AlternateContent>
      </w:r>
      <w:r w:rsidRPr="00CB7EEA">
        <w:rPr>
          <w:noProof/>
          <w:szCs w:val="20"/>
        </w:rPr>
        <w:t xml:space="preserve"> </w:t>
      </w:r>
    </w:p>
    <w:p w:rsidR="006906A8" w:rsidRPr="00CB7EEA" w:rsidRDefault="006906A8" w:rsidP="006906A8">
      <w:pPr>
        <w:jc w:val="both"/>
        <w:rPr>
          <w:rFonts w:cs="Arial"/>
          <w:b/>
          <w:noProof/>
          <w:sz w:val="28"/>
          <w:szCs w:val="20"/>
        </w:rPr>
      </w:pPr>
    </w:p>
    <w:p w:rsidR="006906A8" w:rsidRPr="00CB7EEA" w:rsidRDefault="006906A8" w:rsidP="006906A8">
      <w:pPr>
        <w:keepNext/>
        <w:outlineLvl w:val="0"/>
        <w:rPr>
          <w:b/>
          <w:noProof/>
          <w:sz w:val="28"/>
          <w:szCs w:val="20"/>
        </w:rPr>
      </w:pPr>
      <w:r w:rsidRPr="00CB7EEA">
        <w:rPr>
          <w:b/>
          <w:noProof/>
          <w:sz w:val="28"/>
          <w:szCs w:val="20"/>
        </w:rPr>
        <w:t xml:space="preserve">Higher </w:t>
      </w:r>
      <w:r w:rsidRPr="00CB7EEA">
        <w:rPr>
          <w:b/>
          <w:sz w:val="28"/>
          <w:szCs w:val="20"/>
        </w:rPr>
        <w:t>National</w:t>
      </w:r>
      <w:r w:rsidRPr="00CB7EEA">
        <w:rPr>
          <w:b/>
          <w:noProof/>
          <w:sz w:val="28"/>
          <w:szCs w:val="20"/>
        </w:rPr>
        <w:t xml:space="preserve"> Unit </w:t>
      </w:r>
      <w:r w:rsidRPr="00CB7EEA">
        <w:rPr>
          <w:b/>
          <w:sz w:val="28"/>
          <w:szCs w:val="20"/>
        </w:rPr>
        <w:t>Specification</w:t>
      </w:r>
    </w:p>
    <w:p w:rsidR="006906A8" w:rsidRPr="00CB7EEA" w:rsidRDefault="006906A8" w:rsidP="006906A8">
      <w:pPr>
        <w:keepNext/>
        <w:outlineLvl w:val="0"/>
        <w:rPr>
          <w:b/>
          <w:noProof/>
          <w:sz w:val="28"/>
          <w:szCs w:val="20"/>
        </w:rPr>
      </w:pPr>
      <w:r w:rsidRPr="00CB7EEA">
        <w:rPr>
          <w:b/>
          <w:noProof/>
          <w:sz w:val="28"/>
          <w:szCs w:val="20"/>
        </w:rPr>
        <w:t>General information</w:t>
      </w:r>
    </w:p>
    <w:p w:rsidR="006906A8" w:rsidRPr="00CB7EEA" w:rsidRDefault="006906A8" w:rsidP="006906A8">
      <w:pPr>
        <w:ind w:left="1701" w:hanging="1701"/>
        <w:rPr>
          <w:rFonts w:cs="Arial"/>
          <w:sz w:val="28"/>
          <w:szCs w:val="20"/>
        </w:rPr>
      </w:pPr>
      <w:r w:rsidRPr="00CB7EEA">
        <w:rPr>
          <w:rFonts w:cs="Arial"/>
          <w:b/>
          <w:sz w:val="28"/>
          <w:szCs w:val="20"/>
        </w:rPr>
        <w:t>Unit title:</w:t>
      </w:r>
      <w:r w:rsidRPr="00CB7EEA">
        <w:rPr>
          <w:rFonts w:cs="Arial"/>
          <w:sz w:val="28"/>
          <w:szCs w:val="20"/>
        </w:rPr>
        <w:tab/>
      </w:r>
      <w:r w:rsidR="00EA350D">
        <w:rPr>
          <w:rFonts w:cs="Arial"/>
          <w:sz w:val="28"/>
          <w:szCs w:val="20"/>
        </w:rPr>
        <w:t>Context for Adult Learning</w:t>
      </w:r>
      <w:r w:rsidRPr="00CB7EEA">
        <w:rPr>
          <w:rFonts w:cs="Arial"/>
          <w:sz w:val="28"/>
          <w:szCs w:val="20"/>
        </w:rPr>
        <w:fldChar w:fldCharType="begin"/>
      </w:r>
      <w:r w:rsidRPr="00CB7EEA">
        <w:rPr>
          <w:rFonts w:cs="Arial"/>
          <w:sz w:val="28"/>
          <w:szCs w:val="20"/>
        </w:rPr>
        <w:instrText xml:space="preserve">  </w:instrText>
      </w:r>
      <w:r w:rsidRPr="00CB7EEA">
        <w:rPr>
          <w:rFonts w:cs="Arial"/>
          <w:sz w:val="28"/>
          <w:szCs w:val="20"/>
        </w:rPr>
        <w:fldChar w:fldCharType="end"/>
      </w:r>
      <w:r w:rsidRPr="00CB7EEA">
        <w:rPr>
          <w:rFonts w:cs="Arial"/>
          <w:sz w:val="28"/>
          <w:szCs w:val="20"/>
        </w:rPr>
        <w:fldChar w:fldCharType="begin"/>
      </w:r>
      <w:r w:rsidRPr="00CB7EEA">
        <w:rPr>
          <w:rFonts w:cs="Arial"/>
          <w:sz w:val="28"/>
          <w:szCs w:val="20"/>
        </w:rPr>
        <w:instrText xml:space="preserve">  </w:instrText>
      </w:r>
      <w:r w:rsidRPr="00CB7EEA">
        <w:rPr>
          <w:rFonts w:cs="Arial"/>
          <w:sz w:val="28"/>
          <w:szCs w:val="20"/>
        </w:rPr>
        <w:fldChar w:fldCharType="end"/>
      </w:r>
    </w:p>
    <w:p w:rsidR="006906A8" w:rsidRPr="00553C68" w:rsidRDefault="006906A8" w:rsidP="006906A8">
      <w:pPr>
        <w:ind w:left="1701" w:hanging="1701"/>
        <w:rPr>
          <w:rFonts w:cs="Arial"/>
          <w:sz w:val="28"/>
          <w:szCs w:val="20"/>
          <w:highlight w:val="yellow"/>
        </w:rPr>
      </w:pPr>
      <w:r w:rsidRPr="00553C68">
        <w:rPr>
          <w:rFonts w:cs="Arial"/>
          <w:b/>
          <w:sz w:val="28"/>
          <w:szCs w:val="20"/>
          <w:highlight w:val="yellow"/>
        </w:rPr>
        <w:t>Unit code:</w:t>
      </w:r>
      <w:r w:rsidRPr="00553C68">
        <w:rPr>
          <w:rFonts w:cs="Arial"/>
          <w:sz w:val="28"/>
          <w:szCs w:val="20"/>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Superclass:</w:t>
      </w:r>
      <w:r w:rsidRPr="00553C68">
        <w:rPr>
          <w:rFonts w:cs="Arial"/>
          <w:szCs w:val="22"/>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Publication date:</w:t>
      </w:r>
      <w:r w:rsidRPr="00553C68">
        <w:rPr>
          <w:rFonts w:cs="Arial"/>
          <w:szCs w:val="22"/>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Source:</w:t>
      </w:r>
      <w:r w:rsidRPr="00553C68">
        <w:rPr>
          <w:rFonts w:cs="Arial"/>
          <w:szCs w:val="22"/>
          <w:highlight w:val="yellow"/>
        </w:rPr>
        <w:tab/>
        <w:t>Scottish Qualifications Authority</w:t>
      </w:r>
    </w:p>
    <w:p w:rsidR="006906A8" w:rsidRPr="00CB7EEA" w:rsidRDefault="006906A8" w:rsidP="006906A8">
      <w:pPr>
        <w:tabs>
          <w:tab w:val="left" w:pos="2268"/>
          <w:tab w:val="right" w:pos="9072"/>
        </w:tabs>
        <w:rPr>
          <w:rFonts w:cs="Arial"/>
          <w:szCs w:val="22"/>
        </w:rPr>
      </w:pPr>
      <w:r w:rsidRPr="00553C68">
        <w:rPr>
          <w:rFonts w:cs="Arial"/>
          <w:b/>
          <w:szCs w:val="22"/>
          <w:highlight w:val="yellow"/>
        </w:rPr>
        <w:t>Version:</w:t>
      </w:r>
      <w:r w:rsidRPr="00553C68">
        <w:rPr>
          <w:rFonts w:cs="Arial"/>
          <w:szCs w:val="22"/>
          <w:highlight w:val="yellow"/>
        </w:rPr>
        <w:tab/>
        <w:t>completed by SQA</w:t>
      </w:r>
    </w:p>
    <w:p w:rsidR="006906A8" w:rsidRPr="00CB7EEA" w:rsidRDefault="006906A8" w:rsidP="006906A8">
      <w:pPr>
        <w:rPr>
          <w:szCs w:val="20"/>
        </w:rPr>
      </w:pPr>
    </w:p>
    <w:p w:rsidR="006906A8" w:rsidRPr="00FE6E20" w:rsidRDefault="006906A8" w:rsidP="006906A8">
      <w:pPr>
        <w:keepNext/>
        <w:outlineLvl w:val="0"/>
        <w:rPr>
          <w:b/>
          <w:sz w:val="28"/>
          <w:szCs w:val="20"/>
          <w:highlight w:val="lightGray"/>
        </w:rPr>
      </w:pPr>
      <w:r w:rsidRPr="00FE6E20">
        <w:rPr>
          <w:b/>
          <w:sz w:val="28"/>
          <w:szCs w:val="20"/>
          <w:highlight w:val="lightGray"/>
        </w:rPr>
        <w:t>Unit purpose</w:t>
      </w:r>
    </w:p>
    <w:p w:rsidR="00EA350D" w:rsidRPr="00FE6E20" w:rsidRDefault="00EA350D" w:rsidP="00EA350D">
      <w:pPr>
        <w:spacing w:after="0" w:line="360" w:lineRule="auto"/>
        <w:rPr>
          <w:rFonts w:cs="Arial"/>
          <w:bCs/>
          <w:sz w:val="24"/>
          <w:highlight w:val="lightGray"/>
        </w:rPr>
      </w:pPr>
      <w:r w:rsidRPr="00FE6E20">
        <w:rPr>
          <w:rFonts w:cs="Arial"/>
          <w:sz w:val="24"/>
          <w:highlight w:val="lightGray"/>
        </w:rPr>
        <w:t>The main purpose of the unit is to provide an introduction to the context of adult learning in Scotland for people wishing to complete the Introduction to Working in Adult Learning PDA.</w:t>
      </w:r>
    </w:p>
    <w:p w:rsidR="00EA350D" w:rsidRPr="00FE6E20" w:rsidRDefault="00EA350D" w:rsidP="00EA350D">
      <w:pPr>
        <w:spacing w:after="0" w:line="360" w:lineRule="auto"/>
        <w:rPr>
          <w:rFonts w:cs="Arial"/>
          <w:sz w:val="24"/>
          <w:highlight w:val="lightGray"/>
        </w:rPr>
      </w:pPr>
    </w:p>
    <w:p w:rsidR="00EA350D" w:rsidRPr="00FE6E20" w:rsidRDefault="00EA350D" w:rsidP="00EA350D">
      <w:pPr>
        <w:spacing w:after="0" w:line="360" w:lineRule="auto"/>
        <w:rPr>
          <w:rFonts w:cs="Arial"/>
          <w:sz w:val="24"/>
          <w:highlight w:val="lightGray"/>
        </w:rPr>
      </w:pPr>
      <w:r w:rsidRPr="00FE6E20">
        <w:rPr>
          <w:rFonts w:cs="Arial"/>
          <w:sz w:val="24"/>
          <w:highlight w:val="lightGray"/>
        </w:rPr>
        <w:t xml:space="preserve">This unit will provide the candidate with: </w:t>
      </w:r>
    </w:p>
    <w:p w:rsidR="00EA350D" w:rsidRPr="00FE6E20" w:rsidRDefault="00EA350D" w:rsidP="00EA350D">
      <w:pPr>
        <w:pStyle w:val="ListParagraph"/>
        <w:numPr>
          <w:ilvl w:val="0"/>
          <w:numId w:val="3"/>
        </w:numPr>
        <w:spacing w:after="0" w:line="360" w:lineRule="auto"/>
        <w:rPr>
          <w:rFonts w:ascii="Arial" w:hAnsi="Arial" w:cs="Arial"/>
          <w:bCs/>
          <w:sz w:val="24"/>
          <w:szCs w:val="24"/>
          <w:highlight w:val="lightGray"/>
        </w:rPr>
      </w:pPr>
      <w:r w:rsidRPr="00FE6E20">
        <w:rPr>
          <w:rFonts w:ascii="Arial" w:hAnsi="Arial" w:cs="Arial"/>
          <w:sz w:val="24"/>
          <w:szCs w:val="24"/>
          <w:highlight w:val="lightGray"/>
        </w:rPr>
        <w:t xml:space="preserve">an awareness of the policy context of Adult Learning in Scotland </w:t>
      </w:r>
    </w:p>
    <w:p w:rsidR="00EA350D" w:rsidRPr="00FE6E20" w:rsidRDefault="00EA350D" w:rsidP="00EA350D">
      <w:pPr>
        <w:pStyle w:val="ListParagraph"/>
        <w:numPr>
          <w:ilvl w:val="0"/>
          <w:numId w:val="3"/>
        </w:numPr>
        <w:spacing w:after="0" w:line="360" w:lineRule="auto"/>
        <w:rPr>
          <w:rFonts w:ascii="Arial" w:hAnsi="Arial" w:cs="Arial"/>
          <w:bCs/>
          <w:sz w:val="24"/>
          <w:szCs w:val="24"/>
          <w:highlight w:val="lightGray"/>
        </w:rPr>
      </w:pPr>
      <w:r w:rsidRPr="00FE6E20">
        <w:rPr>
          <w:rFonts w:ascii="Arial" w:hAnsi="Arial" w:cs="Arial"/>
          <w:sz w:val="24"/>
          <w:szCs w:val="24"/>
          <w:highlight w:val="lightGray"/>
        </w:rPr>
        <w:t>an understanding of the extent of Adult Learning provision</w:t>
      </w:r>
    </w:p>
    <w:p w:rsidR="00EA350D" w:rsidRPr="00FE6E20" w:rsidRDefault="00EA350D" w:rsidP="00EA350D">
      <w:pPr>
        <w:pStyle w:val="ListParagraph"/>
        <w:numPr>
          <w:ilvl w:val="0"/>
          <w:numId w:val="3"/>
        </w:numPr>
        <w:spacing w:after="0" w:line="360" w:lineRule="auto"/>
        <w:rPr>
          <w:rFonts w:ascii="Arial" w:hAnsi="Arial" w:cs="Arial"/>
          <w:bCs/>
          <w:sz w:val="24"/>
          <w:szCs w:val="24"/>
          <w:highlight w:val="lightGray"/>
        </w:rPr>
      </w:pPr>
      <w:r w:rsidRPr="00FE6E20">
        <w:rPr>
          <w:rFonts w:ascii="Arial" w:hAnsi="Arial" w:cs="Arial"/>
          <w:sz w:val="24"/>
          <w:szCs w:val="24"/>
          <w:highlight w:val="lightGray"/>
        </w:rPr>
        <w:t>an introduction to theoretical background</w:t>
      </w:r>
    </w:p>
    <w:p w:rsidR="00EA350D" w:rsidRPr="00FE6E20" w:rsidRDefault="00EA350D" w:rsidP="00EA350D">
      <w:pPr>
        <w:spacing w:after="0" w:line="360" w:lineRule="auto"/>
        <w:rPr>
          <w:rFonts w:cs="Arial"/>
          <w:b/>
          <w:sz w:val="24"/>
          <w:highlight w:val="lightGray"/>
        </w:rPr>
      </w:pPr>
    </w:p>
    <w:p w:rsidR="00EA350D" w:rsidRPr="00FE6E20" w:rsidRDefault="00EA350D" w:rsidP="00EA350D">
      <w:pPr>
        <w:spacing w:after="0" w:line="360" w:lineRule="auto"/>
        <w:rPr>
          <w:rFonts w:cs="Arial"/>
          <w:sz w:val="24"/>
          <w:highlight w:val="lightGray"/>
        </w:rPr>
      </w:pPr>
      <w:r w:rsidRPr="00FE6E20">
        <w:rPr>
          <w:rFonts w:cs="Arial"/>
          <w:sz w:val="24"/>
          <w:highlight w:val="lightGray"/>
        </w:rPr>
        <w:t>The target groups for this unit are adults over 16 years, adult returners, college staff and students, volunteers in adult learning, those who might access learning through a widening participation route or through community provision, employees in adult learning organisations and institutions.</w:t>
      </w:r>
    </w:p>
    <w:p w:rsidR="00EA350D" w:rsidRPr="00FE6E20" w:rsidRDefault="00EA350D" w:rsidP="00EA350D">
      <w:pPr>
        <w:spacing w:after="0" w:line="360" w:lineRule="auto"/>
        <w:rPr>
          <w:rFonts w:cs="Arial"/>
          <w:b/>
          <w:sz w:val="24"/>
          <w:highlight w:val="lightGray"/>
        </w:rPr>
      </w:pPr>
    </w:p>
    <w:p w:rsidR="00EA350D" w:rsidRPr="00FE6E20" w:rsidRDefault="00EA350D" w:rsidP="00EA350D">
      <w:pPr>
        <w:spacing w:after="0" w:line="360" w:lineRule="auto"/>
        <w:rPr>
          <w:rFonts w:eastAsia="Calibri" w:cs="Arial"/>
          <w:sz w:val="24"/>
          <w:highlight w:val="lightGray"/>
        </w:rPr>
      </w:pPr>
      <w:r w:rsidRPr="00FE6E20">
        <w:rPr>
          <w:rFonts w:eastAsia="Calibri" w:cs="Arial"/>
          <w:sz w:val="24"/>
          <w:highlight w:val="lightGray"/>
        </w:rPr>
        <w:t>Employment opportunities will be within Local Authorities, Colleges and Third Sector organisations, it will also create CPD opportunities for in-work certification.</w:t>
      </w:r>
    </w:p>
    <w:p w:rsidR="006906A8" w:rsidRPr="00FE6E20" w:rsidRDefault="006906A8" w:rsidP="006906A8">
      <w:pPr>
        <w:rPr>
          <w:rFonts w:cs="Arial"/>
          <w:szCs w:val="20"/>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lastRenderedPageBreak/>
        <w:t>Outcomes</w:t>
      </w:r>
    </w:p>
    <w:p w:rsidR="006906A8" w:rsidRPr="00FE6E20" w:rsidRDefault="006906A8" w:rsidP="006906A8">
      <w:pPr>
        <w:rPr>
          <w:rFonts w:cs="Arial"/>
          <w:szCs w:val="20"/>
          <w:highlight w:val="lightGray"/>
        </w:rPr>
      </w:pPr>
      <w:r w:rsidRPr="00FE6E20">
        <w:rPr>
          <w:rFonts w:cs="Arial"/>
          <w:szCs w:val="20"/>
          <w:highlight w:val="lightGray"/>
        </w:rPr>
        <w:t>On successful completion of the unit the learner will be able to</w:t>
      </w:r>
      <w:r w:rsidR="00553C68" w:rsidRPr="00FE6E20">
        <w:rPr>
          <w:rFonts w:cs="Arial"/>
          <w:szCs w:val="20"/>
          <w:highlight w:val="lightGray"/>
        </w:rPr>
        <w:t xml:space="preserve"> demonstrate an understanding of</w:t>
      </w:r>
      <w:r w:rsidRPr="00FE6E20">
        <w:rPr>
          <w:rFonts w:cs="Arial"/>
          <w:szCs w:val="20"/>
          <w:highlight w:val="lightGray"/>
        </w:rPr>
        <w:t>:</w:t>
      </w:r>
    </w:p>
    <w:p w:rsidR="00EA350D" w:rsidRPr="00FE6E20" w:rsidRDefault="00EA350D" w:rsidP="006906A8">
      <w:pPr>
        <w:rPr>
          <w:rFonts w:cs="Arial"/>
          <w:color w:val="000000"/>
          <w:highlight w:val="lightGray"/>
          <w:shd w:val="clear" w:color="auto" w:fill="FFFFFF"/>
        </w:rPr>
      </w:pPr>
      <w:r w:rsidRPr="00FE6E20">
        <w:rPr>
          <w:rFonts w:cs="Arial"/>
          <w:color w:val="000000"/>
          <w:highlight w:val="lightGray"/>
          <w:shd w:val="clear" w:color="auto" w:fill="FFFFFF"/>
        </w:rPr>
        <w:t>1.</w:t>
      </w:r>
      <w:r w:rsidRPr="00FE6E20">
        <w:rPr>
          <w:rFonts w:cs="Arial"/>
          <w:color w:val="000000"/>
          <w:highlight w:val="lightGray"/>
          <w:shd w:val="clear" w:color="auto" w:fill="FFFFFF"/>
        </w:rPr>
        <w:tab/>
        <w:t>Theories underpinning adult learning</w:t>
      </w:r>
    </w:p>
    <w:p w:rsidR="00EA350D" w:rsidRPr="00FE6E20" w:rsidRDefault="00EA350D" w:rsidP="006906A8">
      <w:pPr>
        <w:rPr>
          <w:rFonts w:cs="Arial"/>
          <w:color w:val="000000"/>
          <w:highlight w:val="lightGray"/>
          <w:shd w:val="clear" w:color="auto" w:fill="FFFFFF"/>
        </w:rPr>
      </w:pPr>
      <w:r w:rsidRPr="00FE6E20">
        <w:rPr>
          <w:rFonts w:cs="Arial"/>
          <w:color w:val="000000"/>
          <w:highlight w:val="lightGray"/>
          <w:shd w:val="clear" w:color="auto" w:fill="FFFFFF"/>
        </w:rPr>
        <w:t>2.</w:t>
      </w:r>
      <w:r w:rsidRPr="00FE6E20">
        <w:rPr>
          <w:rFonts w:cs="Arial"/>
          <w:color w:val="000000"/>
          <w:highlight w:val="lightGray"/>
          <w:shd w:val="clear" w:color="auto" w:fill="FFFFFF"/>
        </w:rPr>
        <w:tab/>
        <w:t>Policies and strategies influencing adult learning</w:t>
      </w:r>
    </w:p>
    <w:p w:rsidR="006906A8" w:rsidRPr="00FE6E20" w:rsidRDefault="00EA350D" w:rsidP="006906A8">
      <w:pPr>
        <w:rPr>
          <w:rFonts w:cs="Arial"/>
          <w:szCs w:val="20"/>
          <w:highlight w:val="lightGray"/>
        </w:rPr>
      </w:pPr>
      <w:r w:rsidRPr="00FE6E20">
        <w:rPr>
          <w:rFonts w:cs="Arial"/>
          <w:color w:val="000000"/>
          <w:highlight w:val="lightGray"/>
          <w:shd w:val="clear" w:color="auto" w:fill="FFFFFF"/>
        </w:rPr>
        <w:t>3.</w:t>
      </w:r>
      <w:r w:rsidRPr="00FE6E20">
        <w:rPr>
          <w:rFonts w:cs="Arial"/>
          <w:color w:val="000000"/>
          <w:highlight w:val="lightGray"/>
          <w:shd w:val="clear" w:color="auto" w:fill="FFFFFF"/>
        </w:rPr>
        <w:tab/>
        <w:t>Practice settings and context</w:t>
      </w:r>
    </w:p>
    <w:p w:rsidR="006906A8" w:rsidRPr="00FE6E20" w:rsidRDefault="006906A8" w:rsidP="006906A8">
      <w:pPr>
        <w:tabs>
          <w:tab w:val="clear" w:pos="357"/>
          <w:tab w:val="clear" w:pos="567"/>
        </w:tabs>
        <w:suppressAutoHyphens w:val="0"/>
        <w:spacing w:after="160" w:line="259" w:lineRule="auto"/>
        <w:rPr>
          <w:rFonts w:cs="Arial"/>
          <w:b/>
          <w:sz w:val="28"/>
          <w:szCs w:val="20"/>
          <w:highlight w:val="lightGray"/>
        </w:rPr>
      </w:pPr>
      <w:r w:rsidRPr="00FE6E20">
        <w:rPr>
          <w:rFonts w:cs="Arial"/>
          <w:b/>
          <w:sz w:val="28"/>
          <w:szCs w:val="20"/>
          <w:highlight w:val="lightGray"/>
        </w:rPr>
        <w:br w:type="page"/>
      </w:r>
    </w:p>
    <w:p w:rsidR="006906A8" w:rsidRPr="00FE6E20" w:rsidRDefault="006906A8" w:rsidP="006906A8">
      <w:pPr>
        <w:keepNext/>
        <w:outlineLvl w:val="0"/>
        <w:rPr>
          <w:b/>
          <w:sz w:val="28"/>
          <w:szCs w:val="20"/>
          <w:highlight w:val="lightGray"/>
        </w:rPr>
      </w:pPr>
      <w:r w:rsidRPr="00FE6E20">
        <w:rPr>
          <w:b/>
          <w:sz w:val="28"/>
          <w:szCs w:val="20"/>
          <w:highlight w:val="lightGray"/>
        </w:rPr>
        <w:lastRenderedPageBreak/>
        <w:t>Credit points and level</w:t>
      </w:r>
    </w:p>
    <w:p w:rsidR="006906A8" w:rsidRPr="00FE6E20" w:rsidRDefault="00EA350D" w:rsidP="006906A8">
      <w:pPr>
        <w:rPr>
          <w:rFonts w:cs="Arial"/>
          <w:szCs w:val="20"/>
          <w:highlight w:val="lightGray"/>
        </w:rPr>
      </w:pPr>
      <w:r w:rsidRPr="00FE6E20">
        <w:rPr>
          <w:highlight w:val="lightGray"/>
        </w:rPr>
        <w:t>1 HN Credit at SCQF level 6: (8 SCQF credit points at SCQF level 6*)</w:t>
      </w:r>
      <w:r w:rsidR="006906A8" w:rsidRPr="00FE6E20">
        <w:rPr>
          <w:rFonts w:cs="Arial"/>
          <w:szCs w:val="20"/>
          <w:highlight w:val="lightGray"/>
        </w:rPr>
        <w:fldChar w:fldCharType="begin"/>
      </w:r>
      <w:r w:rsidR="006906A8" w:rsidRPr="00FE6E20">
        <w:rPr>
          <w:rFonts w:cs="Arial"/>
          <w:szCs w:val="20"/>
          <w:highlight w:val="lightGray"/>
        </w:rPr>
        <w:instrText xml:space="preserve">  </w:instrText>
      </w:r>
      <w:r w:rsidR="006906A8" w:rsidRPr="00FE6E20">
        <w:rPr>
          <w:rFonts w:cs="Arial"/>
          <w:szCs w:val="20"/>
          <w:highlight w:val="lightGray"/>
        </w:rPr>
        <w:fldChar w:fldCharType="end"/>
      </w:r>
    </w:p>
    <w:p w:rsidR="006906A8" w:rsidRPr="00FE6E20" w:rsidRDefault="006906A8" w:rsidP="006906A8">
      <w:pPr>
        <w:keepNext/>
        <w:outlineLvl w:val="0"/>
        <w:rPr>
          <w:b/>
          <w:sz w:val="28"/>
          <w:szCs w:val="20"/>
          <w:highlight w:val="lightGray"/>
        </w:rPr>
      </w:pPr>
      <w:r w:rsidRPr="00FE6E20">
        <w:rPr>
          <w:b/>
          <w:sz w:val="28"/>
          <w:szCs w:val="20"/>
          <w:highlight w:val="lightGray"/>
        </w:rPr>
        <w:t>Recommended entry to the unit</w:t>
      </w:r>
    </w:p>
    <w:p w:rsidR="00EA350D" w:rsidRPr="00FE6E20" w:rsidRDefault="00EA350D" w:rsidP="00EA350D">
      <w:pPr>
        <w:spacing w:after="0" w:line="360" w:lineRule="auto"/>
        <w:rPr>
          <w:rFonts w:cs="Arial"/>
          <w:sz w:val="24"/>
          <w:highlight w:val="lightGray"/>
        </w:rPr>
      </w:pPr>
      <w:r w:rsidRPr="00FE6E20">
        <w:rPr>
          <w:rFonts w:cs="Arial"/>
          <w:sz w:val="24"/>
          <w:highlight w:val="lightGray"/>
        </w:rPr>
        <w:t>Access to the award requires no formal qualifications but does require:</w:t>
      </w:r>
    </w:p>
    <w:p w:rsidR="00EA350D" w:rsidRPr="00FE6E20" w:rsidRDefault="00EA350D" w:rsidP="00EA350D">
      <w:pPr>
        <w:pStyle w:val="ListParagraph"/>
        <w:numPr>
          <w:ilvl w:val="0"/>
          <w:numId w:val="4"/>
        </w:numPr>
        <w:spacing w:after="0" w:line="360" w:lineRule="auto"/>
        <w:rPr>
          <w:rFonts w:ascii="Arial" w:hAnsi="Arial" w:cs="Arial"/>
          <w:sz w:val="24"/>
          <w:szCs w:val="24"/>
          <w:highlight w:val="lightGray"/>
        </w:rPr>
      </w:pPr>
      <w:r w:rsidRPr="00FE6E20">
        <w:rPr>
          <w:rFonts w:ascii="Arial" w:hAnsi="Arial" w:cs="Arial"/>
          <w:sz w:val="24"/>
          <w:szCs w:val="24"/>
          <w:highlight w:val="lightGray"/>
        </w:rPr>
        <w:t>Communication skills</w:t>
      </w:r>
    </w:p>
    <w:p w:rsidR="00EA350D" w:rsidRPr="00FE6E20" w:rsidRDefault="00EA350D" w:rsidP="00EA350D">
      <w:pPr>
        <w:pStyle w:val="ListParagraph"/>
        <w:numPr>
          <w:ilvl w:val="0"/>
          <w:numId w:val="4"/>
        </w:numPr>
        <w:spacing w:after="0" w:line="360" w:lineRule="auto"/>
        <w:rPr>
          <w:rFonts w:ascii="Arial" w:hAnsi="Arial" w:cs="Arial"/>
          <w:sz w:val="24"/>
          <w:szCs w:val="24"/>
          <w:highlight w:val="lightGray"/>
        </w:rPr>
      </w:pPr>
      <w:r w:rsidRPr="00FE6E20">
        <w:rPr>
          <w:rFonts w:ascii="Arial" w:hAnsi="Arial" w:cs="Arial"/>
          <w:sz w:val="24"/>
          <w:szCs w:val="24"/>
          <w:highlight w:val="lightGray"/>
        </w:rPr>
        <w:t>Interest in working with people to develop their learning</w:t>
      </w:r>
    </w:p>
    <w:p w:rsidR="00EA350D" w:rsidRPr="00FE6E20" w:rsidRDefault="00EA350D" w:rsidP="00EA350D">
      <w:pPr>
        <w:pStyle w:val="ListParagraph"/>
        <w:spacing w:after="0" w:line="360" w:lineRule="auto"/>
        <w:rPr>
          <w:rFonts w:ascii="Arial" w:hAnsi="Arial" w:cs="Arial"/>
          <w:sz w:val="24"/>
          <w:szCs w:val="24"/>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Core Skills</w:t>
      </w:r>
    </w:p>
    <w:p w:rsidR="006906A8" w:rsidRPr="00FE6E20" w:rsidRDefault="00EA350D" w:rsidP="00EA350D">
      <w:pPr>
        <w:pStyle w:val="NoSpacing"/>
        <w:rPr>
          <w:rFonts w:cs="Arial"/>
          <w:szCs w:val="22"/>
          <w:highlight w:val="lightGray"/>
        </w:rPr>
      </w:pPr>
      <w:r w:rsidRPr="00FE6E20">
        <w:rPr>
          <w:highlight w:val="lightGray"/>
        </w:rPr>
        <w:t>Opportunities to develop aspects of Core Skills are highlighted in the Support Notes for this Unit specification. There is no automatic certification of Core Skills or Core Skill components in this Unit.</w:t>
      </w:r>
    </w:p>
    <w:p w:rsidR="006906A8" w:rsidRPr="00FE6E20" w:rsidRDefault="006906A8" w:rsidP="006906A8">
      <w:pPr>
        <w:tabs>
          <w:tab w:val="clear" w:pos="357"/>
          <w:tab w:val="clear" w:pos="567"/>
        </w:tabs>
        <w:suppressAutoHyphens w:val="0"/>
        <w:spacing w:after="160" w:line="259" w:lineRule="auto"/>
        <w:rPr>
          <w:b/>
          <w:sz w:val="28"/>
          <w:szCs w:val="20"/>
          <w:highlight w:val="lightGray"/>
        </w:rPr>
      </w:pPr>
      <w:r w:rsidRPr="00FE6E20">
        <w:rPr>
          <w:b/>
          <w:sz w:val="28"/>
          <w:szCs w:val="20"/>
          <w:highlight w:val="lightGray"/>
        </w:rPr>
        <w:br w:type="page"/>
      </w:r>
    </w:p>
    <w:p w:rsidR="006906A8" w:rsidRPr="00FE6E20" w:rsidRDefault="006906A8" w:rsidP="006906A8">
      <w:pPr>
        <w:keepNext/>
        <w:outlineLvl w:val="0"/>
        <w:rPr>
          <w:b/>
          <w:sz w:val="28"/>
          <w:szCs w:val="20"/>
          <w:highlight w:val="lightGray"/>
        </w:rPr>
      </w:pPr>
      <w:r w:rsidRPr="00FE6E20">
        <w:rPr>
          <w:b/>
          <w:sz w:val="28"/>
          <w:szCs w:val="20"/>
          <w:highlight w:val="lightGray"/>
        </w:rPr>
        <w:lastRenderedPageBreak/>
        <w:t>Context for delivery</w:t>
      </w:r>
    </w:p>
    <w:p w:rsidR="0075316F" w:rsidRPr="00FE6E20" w:rsidRDefault="00EA350D" w:rsidP="006906A8">
      <w:pPr>
        <w:rPr>
          <w:highlight w:val="lightGray"/>
        </w:rPr>
      </w:pPr>
      <w:r w:rsidRPr="00FE6E20">
        <w:rPr>
          <w:highlight w:val="lightGray"/>
        </w:rPr>
        <w:t xml:space="preserve">If this Unit is delivered as part of a Group Award, it is recommended that it should be taught and assessed within the subject area of the Group Award to which it contributes. </w:t>
      </w:r>
    </w:p>
    <w:p w:rsidR="0075316F" w:rsidRPr="00FE6E20" w:rsidRDefault="00EA350D" w:rsidP="006906A8">
      <w:pPr>
        <w:rPr>
          <w:highlight w:val="lightGray"/>
        </w:rPr>
      </w:pPr>
      <w:r w:rsidRPr="00FE6E20">
        <w:rPr>
          <w:highlight w:val="lightGray"/>
        </w:rPr>
        <w:t>This Unit is a mandato</w:t>
      </w:r>
      <w:r w:rsidR="0075316F" w:rsidRPr="00FE6E20">
        <w:rPr>
          <w:highlight w:val="lightGray"/>
        </w:rPr>
        <w:t>ry Unit in the Introduction to Working in Adult Learning PDA</w:t>
      </w:r>
      <w:r w:rsidRPr="00FE6E20">
        <w:rPr>
          <w:highlight w:val="lightGray"/>
        </w:rPr>
        <w:t xml:space="preserve"> at SCQF level 6. The content of this Unit reflects aspects of the knowledge requirements </w:t>
      </w:r>
      <w:r w:rsidR="0075316F" w:rsidRPr="00FE6E20">
        <w:rPr>
          <w:highlight w:val="lightGray"/>
        </w:rPr>
        <w:t>for working in the field of adult learning.</w:t>
      </w:r>
      <w:r w:rsidRPr="00FE6E20">
        <w:rPr>
          <w:highlight w:val="lightGray"/>
        </w:rPr>
        <w:t xml:space="preserve"> </w:t>
      </w:r>
    </w:p>
    <w:p w:rsidR="00EA350D" w:rsidRPr="00FE6E20" w:rsidRDefault="00EA350D" w:rsidP="006906A8">
      <w:pPr>
        <w:rPr>
          <w:highlight w:val="lightGray"/>
        </w:rPr>
      </w:pPr>
      <w:r w:rsidRPr="00FE6E20">
        <w:rPr>
          <w:highlight w:val="lightGray"/>
        </w:rPr>
        <w:t xml:space="preserve">The Assessment Support Pack (ASP) for this Unit provides assessment and marking </w:t>
      </w:r>
      <w:r w:rsidR="0075316F" w:rsidRPr="00FE6E20">
        <w:rPr>
          <w:highlight w:val="lightGray"/>
        </w:rPr>
        <w:t>guidelines</w:t>
      </w:r>
      <w:r w:rsidRPr="00FE6E20">
        <w:rPr>
          <w:highlight w:val="lightGray"/>
        </w:rPr>
        <w:t xml:space="preserve"> It is a valid, reliable and practicable assessment. Centres wishing to develop their own assessments should refer to the ASP to ensure a comparable standard. A list of existing ASPs is available to download from SQA’s website (</w:t>
      </w:r>
      <w:hyperlink r:id="rId7" w:history="1">
        <w:r w:rsidRPr="00FE6E20">
          <w:rPr>
            <w:rStyle w:val="Hyperlink"/>
            <w:highlight w:val="lightGray"/>
          </w:rPr>
          <w:t>http://www.sqa.org.uk/sqa/46233.2769.html</w:t>
        </w:r>
      </w:hyperlink>
      <w:r w:rsidRPr="00FE6E20">
        <w:rPr>
          <w:highlight w:val="lightGray"/>
        </w:rPr>
        <w:t>).</w:t>
      </w:r>
    </w:p>
    <w:p w:rsidR="006906A8" w:rsidRPr="00FE6E20" w:rsidRDefault="006906A8" w:rsidP="006906A8">
      <w:pPr>
        <w:keepNext/>
        <w:outlineLvl w:val="0"/>
        <w:rPr>
          <w:b/>
          <w:sz w:val="28"/>
          <w:szCs w:val="20"/>
          <w:highlight w:val="lightGray"/>
        </w:rPr>
      </w:pPr>
      <w:r w:rsidRPr="00FE6E20">
        <w:rPr>
          <w:b/>
          <w:sz w:val="28"/>
          <w:szCs w:val="20"/>
          <w:highlight w:val="lightGray"/>
        </w:rPr>
        <w:t>Equality and inclusion</w:t>
      </w:r>
    </w:p>
    <w:p w:rsidR="006906A8" w:rsidRPr="00FE6E20" w:rsidRDefault="006906A8" w:rsidP="006906A8">
      <w:pPr>
        <w:rPr>
          <w:szCs w:val="22"/>
          <w:highlight w:val="lightGray"/>
        </w:rPr>
      </w:pPr>
      <w:r w:rsidRPr="00FE6E20">
        <w:rPr>
          <w:szCs w:val="22"/>
          <w:highlight w:val="lightGray"/>
        </w:rPr>
        <w:t>This unit specification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rsidR="006906A8" w:rsidRPr="00FE6E20" w:rsidRDefault="006906A8" w:rsidP="006906A8">
      <w:pPr>
        <w:rPr>
          <w:rFonts w:cs="Arial"/>
          <w:szCs w:val="22"/>
          <w:highlight w:val="lightGray"/>
        </w:rPr>
      </w:pPr>
      <w:r w:rsidRPr="00FE6E20">
        <w:rPr>
          <w:szCs w:val="22"/>
          <w:highlight w:val="lightGray"/>
        </w:rPr>
        <w:t xml:space="preserve">Further advice can be found on our website </w:t>
      </w:r>
      <w:hyperlink r:id="rId8" w:history="1">
        <w:r w:rsidRPr="00FE6E20">
          <w:rPr>
            <w:b/>
            <w:szCs w:val="22"/>
            <w:highlight w:val="lightGray"/>
          </w:rPr>
          <w:t>www.sqa.org.uk/assessmentarrangements</w:t>
        </w:r>
      </w:hyperlink>
      <w:r w:rsidRPr="00FE6E20">
        <w:rPr>
          <w:szCs w:val="22"/>
          <w:highlight w:val="lightGray"/>
        </w:rPr>
        <w:t>.</w:t>
      </w:r>
    </w:p>
    <w:p w:rsidR="006906A8" w:rsidRPr="00FE6E20" w:rsidRDefault="006906A8" w:rsidP="006906A8">
      <w:pPr>
        <w:keepNext/>
        <w:outlineLvl w:val="0"/>
        <w:rPr>
          <w:b/>
          <w:sz w:val="28"/>
          <w:szCs w:val="20"/>
          <w:highlight w:val="lightGray"/>
        </w:rPr>
      </w:pPr>
      <w:r w:rsidRPr="00FE6E20">
        <w:rPr>
          <w:b/>
          <w:sz w:val="28"/>
          <w:szCs w:val="22"/>
          <w:highlight w:val="lightGray"/>
        </w:rPr>
        <w:br w:type="page"/>
      </w:r>
      <w:r w:rsidRPr="00FE6E20">
        <w:rPr>
          <w:b/>
          <w:sz w:val="28"/>
          <w:szCs w:val="22"/>
          <w:highlight w:val="lightGray"/>
        </w:rPr>
        <w:lastRenderedPageBreak/>
        <w:t xml:space="preserve">Higher </w:t>
      </w:r>
      <w:r w:rsidRPr="00FE6E20">
        <w:rPr>
          <w:b/>
          <w:sz w:val="28"/>
          <w:szCs w:val="20"/>
          <w:highlight w:val="lightGray"/>
        </w:rPr>
        <w:t>National Unit Specification: Statement of standards</w:t>
      </w:r>
    </w:p>
    <w:p w:rsidR="006906A8" w:rsidRPr="00FE6E20" w:rsidRDefault="006906A8" w:rsidP="006906A8">
      <w:pPr>
        <w:ind w:left="1701" w:hanging="1701"/>
        <w:rPr>
          <w:rFonts w:cs="Arial"/>
          <w:sz w:val="28"/>
          <w:szCs w:val="20"/>
          <w:highlight w:val="lightGray"/>
        </w:rPr>
      </w:pPr>
      <w:r w:rsidRPr="00FE6E20">
        <w:rPr>
          <w:rFonts w:cs="Arial"/>
          <w:b/>
          <w:sz w:val="28"/>
          <w:szCs w:val="20"/>
          <w:highlight w:val="lightGray"/>
        </w:rPr>
        <w:t>Unit title:</w:t>
      </w:r>
      <w:r w:rsidRPr="00FE6E20">
        <w:rPr>
          <w:rFonts w:cs="Arial"/>
          <w:sz w:val="28"/>
          <w:szCs w:val="20"/>
          <w:highlight w:val="lightGray"/>
        </w:rPr>
        <w:tab/>
      </w:r>
      <w:r w:rsidR="0075316F" w:rsidRPr="00FE6E20">
        <w:rPr>
          <w:rFonts w:cs="Arial"/>
          <w:sz w:val="28"/>
          <w:szCs w:val="20"/>
          <w:highlight w:val="lightGray"/>
        </w:rPr>
        <w:t>Context of Adult Learning in Scotland</w:t>
      </w:r>
      <w:r w:rsidRPr="00FE6E20">
        <w:rPr>
          <w:rFonts w:cs="Arial"/>
          <w:sz w:val="28"/>
          <w:szCs w:val="20"/>
          <w:highlight w:val="lightGray"/>
        </w:rPr>
        <w:fldChar w:fldCharType="begin"/>
      </w:r>
      <w:r w:rsidRPr="00FE6E20">
        <w:rPr>
          <w:rFonts w:cs="Arial"/>
          <w:sz w:val="28"/>
          <w:szCs w:val="20"/>
          <w:highlight w:val="lightGray"/>
        </w:rPr>
        <w:instrText xml:space="preserve">  </w:instrText>
      </w:r>
      <w:r w:rsidRPr="00FE6E20">
        <w:rPr>
          <w:rFonts w:cs="Arial"/>
          <w:sz w:val="28"/>
          <w:szCs w:val="20"/>
          <w:highlight w:val="lightGray"/>
        </w:rPr>
        <w:fldChar w:fldCharType="end"/>
      </w:r>
      <w:r w:rsidRPr="00FE6E20">
        <w:rPr>
          <w:rFonts w:cs="Arial"/>
          <w:sz w:val="28"/>
          <w:szCs w:val="20"/>
          <w:highlight w:val="lightGray"/>
        </w:rPr>
        <w:fldChar w:fldCharType="begin"/>
      </w:r>
      <w:r w:rsidRPr="00FE6E20">
        <w:rPr>
          <w:rFonts w:cs="Arial"/>
          <w:sz w:val="28"/>
          <w:szCs w:val="20"/>
          <w:highlight w:val="lightGray"/>
        </w:rPr>
        <w:instrText xml:space="preserve">  </w:instrText>
      </w:r>
      <w:r w:rsidRPr="00FE6E20">
        <w:rPr>
          <w:rFonts w:cs="Arial"/>
          <w:sz w:val="28"/>
          <w:szCs w:val="20"/>
          <w:highlight w:val="lightGray"/>
        </w:rPr>
        <w:fldChar w:fldCharType="end"/>
      </w:r>
    </w:p>
    <w:p w:rsidR="006906A8" w:rsidRPr="00FE6E20" w:rsidRDefault="006906A8" w:rsidP="006906A8">
      <w:pPr>
        <w:rPr>
          <w:rFonts w:cs="Arial"/>
          <w:szCs w:val="20"/>
          <w:highlight w:val="lightGray"/>
        </w:rPr>
      </w:pPr>
      <w:r w:rsidRPr="00FE6E20">
        <w:rPr>
          <w:rFonts w:cs="Arial"/>
          <w:szCs w:val="20"/>
          <w:highlight w:val="lightGray"/>
        </w:rPr>
        <w:t>Acceptable performance in this unit will be the satisfactory achievement of the standards set out in this part of the unit specification. All sections of the statement of standards are mandatory and cannot be altered without reference to SQA.</w:t>
      </w:r>
    </w:p>
    <w:p w:rsidR="006906A8" w:rsidRPr="00FE6E20" w:rsidRDefault="006906A8" w:rsidP="006906A8">
      <w:pPr>
        <w:rPr>
          <w:rFonts w:cs="Arial"/>
          <w:szCs w:val="20"/>
          <w:highlight w:val="lightGray"/>
        </w:rPr>
      </w:pPr>
      <w:r w:rsidRPr="00FE6E20">
        <w:rPr>
          <w:rFonts w:cs="Arial"/>
          <w:szCs w:val="20"/>
          <w:highlight w:val="lightGray"/>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rsidR="00553C68" w:rsidRPr="00FE6E20" w:rsidRDefault="006906A8" w:rsidP="00553C68">
      <w:pPr>
        <w:keepNext/>
        <w:outlineLvl w:val="0"/>
        <w:rPr>
          <w:b/>
          <w:sz w:val="28"/>
          <w:szCs w:val="20"/>
          <w:highlight w:val="lightGray"/>
        </w:rPr>
      </w:pPr>
      <w:r w:rsidRPr="00FE6E20">
        <w:rPr>
          <w:b/>
          <w:sz w:val="28"/>
          <w:szCs w:val="20"/>
          <w:highlight w:val="lightGray"/>
        </w:rPr>
        <w:t>Outcome 1</w:t>
      </w:r>
    </w:p>
    <w:p w:rsidR="00553C68" w:rsidRPr="00FE6E20" w:rsidRDefault="00553C68" w:rsidP="00553C68">
      <w:pPr>
        <w:spacing w:after="0" w:line="360" w:lineRule="auto"/>
        <w:rPr>
          <w:rFonts w:cs="Arial"/>
          <w:bCs/>
          <w:sz w:val="24"/>
          <w:highlight w:val="lightGray"/>
        </w:rPr>
      </w:pPr>
      <w:r w:rsidRPr="00FE6E20">
        <w:rPr>
          <w:rFonts w:cs="Arial"/>
          <w:bCs/>
          <w:sz w:val="24"/>
          <w:highlight w:val="lightGray"/>
        </w:rPr>
        <w:t>Understand the theories underpinning adult learning delivery in Scotland</w:t>
      </w:r>
    </w:p>
    <w:p w:rsidR="00553C68" w:rsidRPr="00FE6E20" w:rsidRDefault="00553C68" w:rsidP="00553C68">
      <w:pPr>
        <w:spacing w:after="0" w:line="360" w:lineRule="auto"/>
        <w:rPr>
          <w:rFonts w:cs="Arial"/>
          <w:b/>
          <w:sz w:val="24"/>
          <w:highlight w:val="lightGray"/>
        </w:rPr>
      </w:pPr>
    </w:p>
    <w:p w:rsidR="00553C68" w:rsidRPr="00FE6E20" w:rsidRDefault="00553C68" w:rsidP="00553C68">
      <w:pPr>
        <w:spacing w:after="0" w:line="360" w:lineRule="auto"/>
        <w:rPr>
          <w:rFonts w:cs="Arial"/>
          <w:b/>
          <w:sz w:val="24"/>
          <w:highlight w:val="lightGray"/>
        </w:rPr>
      </w:pPr>
      <w:r w:rsidRPr="00FE6E20">
        <w:rPr>
          <w:rFonts w:cs="Arial"/>
          <w:b/>
          <w:sz w:val="24"/>
          <w:highlight w:val="lightGray"/>
        </w:rPr>
        <w:t>Knowledge and/or Skills</w:t>
      </w:r>
    </w:p>
    <w:p w:rsidR="00553C68" w:rsidRPr="00FE6E20" w:rsidRDefault="00553C68" w:rsidP="00553C68">
      <w:pPr>
        <w:pStyle w:val="ListParagraph"/>
        <w:numPr>
          <w:ilvl w:val="0"/>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Awareness of historical and current context of adult learning in Scotland</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Education V learning</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Current definitions of adult learning in Scotland</w:t>
      </w:r>
    </w:p>
    <w:p w:rsidR="00553C68" w:rsidRPr="00FE6E20" w:rsidRDefault="00553C68" w:rsidP="00553C68">
      <w:pPr>
        <w:pStyle w:val="ListParagraph"/>
        <w:numPr>
          <w:ilvl w:val="0"/>
          <w:numId w:val="5"/>
        </w:numPr>
        <w:spacing w:after="0" w:line="360" w:lineRule="auto"/>
        <w:rPr>
          <w:rFonts w:ascii="Arial" w:hAnsi="Arial" w:cs="Arial"/>
          <w:b/>
          <w:sz w:val="24"/>
          <w:szCs w:val="24"/>
          <w:highlight w:val="lightGray"/>
        </w:rPr>
      </w:pPr>
      <w:r w:rsidRPr="00FE6E20">
        <w:rPr>
          <w:rFonts w:ascii="Arial" w:hAnsi="Arial" w:cs="Arial"/>
          <w:bCs/>
          <w:sz w:val="24"/>
          <w:szCs w:val="24"/>
          <w:highlight w:val="lightGray"/>
        </w:rPr>
        <w:t>Main theories influencing adult learning delivery in Scotland</w:t>
      </w:r>
    </w:p>
    <w:p w:rsidR="00553C68" w:rsidRPr="00FE6E20" w:rsidRDefault="00553C68" w:rsidP="00553C68">
      <w:pPr>
        <w:pStyle w:val="ListParagraph"/>
        <w:numPr>
          <w:ilvl w:val="1"/>
          <w:numId w:val="5"/>
        </w:numPr>
        <w:spacing w:after="0" w:line="360" w:lineRule="auto"/>
        <w:rPr>
          <w:rFonts w:ascii="Arial" w:hAnsi="Arial" w:cs="Arial"/>
          <w:b/>
          <w:sz w:val="24"/>
          <w:szCs w:val="24"/>
          <w:highlight w:val="lightGray"/>
        </w:rPr>
      </w:pPr>
      <w:r w:rsidRPr="00FE6E20">
        <w:rPr>
          <w:rFonts w:ascii="Arial" w:hAnsi="Arial" w:cs="Arial"/>
          <w:bCs/>
          <w:sz w:val="24"/>
          <w:szCs w:val="24"/>
          <w:highlight w:val="lightGray"/>
        </w:rPr>
        <w:t>Critical Pedagogy (pedagogy V andragogy)</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Theory of Critical reflection – learning cycle (put in outcome 4)</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 xml:space="preserve">Social Practice Model – Contextualisation </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Learning to learn, Self-directed learning, and Communities of Practice</w:t>
      </w:r>
    </w:p>
    <w:p w:rsidR="00553C68" w:rsidRPr="00FE6E20" w:rsidRDefault="00553C68" w:rsidP="00553C68">
      <w:pPr>
        <w:pStyle w:val="ListParagraph"/>
        <w:numPr>
          <w:ilvl w:val="0"/>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Responsibilities of Adult learning practitioner</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Power relationships and mutual respect</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Providing a learning experience</w:t>
      </w:r>
    </w:p>
    <w:p w:rsidR="00553C68" w:rsidRPr="00FE6E20" w:rsidRDefault="00553C68" w:rsidP="00553C68">
      <w:pPr>
        <w:pStyle w:val="ListParagraph"/>
        <w:numPr>
          <w:ilvl w:val="1"/>
          <w:numId w:val="5"/>
        </w:numPr>
        <w:spacing w:after="0" w:line="360" w:lineRule="auto"/>
        <w:rPr>
          <w:rFonts w:ascii="Arial" w:hAnsi="Arial" w:cs="Arial"/>
          <w:bCs/>
          <w:sz w:val="24"/>
          <w:szCs w:val="24"/>
          <w:highlight w:val="lightGray"/>
        </w:rPr>
      </w:pPr>
      <w:r w:rsidRPr="00FE6E20">
        <w:rPr>
          <w:rFonts w:ascii="Arial" w:hAnsi="Arial" w:cs="Arial"/>
          <w:bCs/>
          <w:sz w:val="24"/>
          <w:szCs w:val="24"/>
          <w:highlight w:val="lightGray"/>
        </w:rPr>
        <w:t xml:space="preserve">Giving feedback and support </w:t>
      </w:r>
    </w:p>
    <w:p w:rsidR="00553C68" w:rsidRPr="00FE6E20" w:rsidRDefault="00553C68" w:rsidP="006906A8">
      <w:pPr>
        <w:keepNext/>
        <w:outlineLvl w:val="0"/>
        <w:rPr>
          <w:b/>
          <w:sz w:val="28"/>
          <w:szCs w:val="20"/>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Outcome 2</w:t>
      </w:r>
    </w:p>
    <w:p w:rsidR="00553C68" w:rsidRPr="00FE6E20" w:rsidRDefault="00553C68" w:rsidP="00553C68">
      <w:pPr>
        <w:rPr>
          <w:rFonts w:cs="Arial"/>
          <w:sz w:val="24"/>
          <w:highlight w:val="lightGray"/>
        </w:rPr>
      </w:pPr>
      <w:r w:rsidRPr="00FE6E20">
        <w:rPr>
          <w:rFonts w:cs="Arial"/>
          <w:sz w:val="24"/>
          <w:highlight w:val="lightGray"/>
        </w:rPr>
        <w:t xml:space="preserve">Outline the policy, strategy and professional learning context which may impact on adult learning practice. </w:t>
      </w:r>
    </w:p>
    <w:p w:rsidR="00553C68" w:rsidRPr="00FE6E20" w:rsidRDefault="00553C68" w:rsidP="00553C68">
      <w:pPr>
        <w:rPr>
          <w:rFonts w:cs="Arial"/>
          <w:b/>
          <w:sz w:val="24"/>
          <w:highlight w:val="lightGray"/>
        </w:rPr>
      </w:pPr>
      <w:r w:rsidRPr="00FE6E20">
        <w:rPr>
          <w:rFonts w:cs="Arial"/>
          <w:b/>
          <w:sz w:val="24"/>
          <w:highlight w:val="lightGray"/>
        </w:rPr>
        <w:t xml:space="preserve">Knowledge and/or Skills </w:t>
      </w:r>
    </w:p>
    <w:p w:rsidR="00553C68" w:rsidRPr="00FE6E20" w:rsidRDefault="00553C68" w:rsidP="00553C68">
      <w:pPr>
        <w:pStyle w:val="ListParagraph"/>
        <w:numPr>
          <w:ilvl w:val="0"/>
          <w:numId w:val="6"/>
        </w:numPr>
        <w:spacing w:after="0" w:line="360" w:lineRule="auto"/>
        <w:rPr>
          <w:rFonts w:ascii="Arial" w:hAnsi="Arial" w:cs="Arial"/>
          <w:bCs/>
          <w:sz w:val="24"/>
          <w:szCs w:val="24"/>
          <w:highlight w:val="lightGray"/>
        </w:rPr>
      </w:pPr>
      <w:r w:rsidRPr="00FE6E20">
        <w:rPr>
          <w:rFonts w:ascii="Arial" w:hAnsi="Arial" w:cs="Arial"/>
          <w:sz w:val="24"/>
          <w:szCs w:val="24"/>
          <w:highlight w:val="lightGray"/>
        </w:rPr>
        <w:t xml:space="preserve">CLDSC, ethics, professional learning, </w:t>
      </w:r>
      <w:r w:rsidRPr="00FE6E20">
        <w:rPr>
          <w:rFonts w:ascii="Arial" w:hAnsi="Arial" w:cs="Arial"/>
          <w:noProof/>
          <w:sz w:val="24"/>
          <w:szCs w:val="24"/>
          <w:highlight w:val="lightGray"/>
          <w:lang w:eastAsia="en-GB"/>
        </w:rPr>
        <mc:AlternateContent>
          <mc:Choice Requires="wps">
            <w:drawing>
              <wp:anchor distT="0" distB="0" distL="114300" distR="114300" simplePos="0" relativeHeight="251661312" behindDoc="0" locked="0" layoutInCell="1" allowOverlap="1">
                <wp:simplePos x="0" y="0"/>
                <wp:positionH relativeFrom="column">
                  <wp:posOffset>6134100</wp:posOffset>
                </wp:positionH>
                <wp:positionV relativeFrom="paragraph">
                  <wp:posOffset>544195</wp:posOffset>
                </wp:positionV>
                <wp:extent cx="158750" cy="107950"/>
                <wp:effectExtent l="0" t="19050" r="31750" b="44450"/>
                <wp:wrapNone/>
                <wp:docPr id="1" name="Right Arrow 1"/>
                <wp:cNvGraphicFramePr/>
                <a:graphic xmlns:a="http://schemas.openxmlformats.org/drawingml/2006/main">
                  <a:graphicData uri="http://schemas.microsoft.com/office/word/2010/wordprocessingShape">
                    <wps:wsp>
                      <wps:cNvSpPr/>
                      <wps:spPr>
                        <a:xfrm>
                          <a:off x="0" y="0"/>
                          <a:ext cx="158750" cy="10795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CB08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83pt;margin-top:42.85pt;width:12.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" adj="14256" fillcolor="#00b050" strokecolor="#1f4d78 [1604]" strokeweight="1pt"/>
            </w:pict>
          </mc:Fallback>
        </mc:AlternateContent>
      </w:r>
      <w:r w:rsidRPr="00FE6E20">
        <w:rPr>
          <w:rFonts w:ascii="Arial" w:hAnsi="Arial" w:cs="Arial"/>
          <w:bCs/>
          <w:sz w:val="24"/>
          <w:szCs w:val="24"/>
          <w:highlight w:val="lightGray"/>
        </w:rPr>
        <w:t xml:space="preserve">AL Competences (as per CLD Standards – current) </w:t>
      </w:r>
    </w:p>
    <w:p w:rsidR="00553C68" w:rsidRPr="00FE6E20" w:rsidRDefault="00553C68" w:rsidP="00553C68">
      <w:pPr>
        <w:pStyle w:val="ListParagraph"/>
        <w:numPr>
          <w:ilvl w:val="0"/>
          <w:numId w:val="6"/>
        </w:numPr>
        <w:spacing w:after="0" w:line="240" w:lineRule="auto"/>
        <w:rPr>
          <w:rFonts w:ascii="Arial" w:hAnsi="Arial" w:cs="Arial"/>
          <w:sz w:val="24"/>
          <w:szCs w:val="24"/>
          <w:highlight w:val="lightGray"/>
        </w:rPr>
      </w:pPr>
      <w:r w:rsidRPr="00FE6E20">
        <w:rPr>
          <w:rFonts w:ascii="Arial" w:hAnsi="Arial" w:cs="Arial"/>
          <w:sz w:val="24"/>
          <w:szCs w:val="24"/>
          <w:highlight w:val="lightGray"/>
        </w:rPr>
        <w:lastRenderedPageBreak/>
        <w:t xml:space="preserve">Policies and strategies relating to the provision of adult learning </w:t>
      </w:r>
    </w:p>
    <w:p w:rsidR="00553C68" w:rsidRPr="00FE6E20" w:rsidRDefault="00553C68" w:rsidP="00553C68">
      <w:pPr>
        <w:pStyle w:val="ListParagraph"/>
        <w:numPr>
          <w:ilvl w:val="0"/>
          <w:numId w:val="6"/>
        </w:numPr>
        <w:shd w:val="clear" w:color="auto" w:fill="FFFFFF"/>
        <w:spacing w:after="0" w:line="360" w:lineRule="auto"/>
        <w:rPr>
          <w:rFonts w:ascii="Arial" w:hAnsi="Arial" w:cs="Arial"/>
          <w:sz w:val="24"/>
          <w:szCs w:val="24"/>
          <w:highlight w:val="lightGray"/>
        </w:rPr>
      </w:pPr>
      <w:r w:rsidRPr="00FE6E20">
        <w:rPr>
          <w:rFonts w:ascii="Arial" w:hAnsi="Arial" w:cs="Arial"/>
          <w:sz w:val="24"/>
          <w:szCs w:val="24"/>
          <w:highlight w:val="lightGray"/>
        </w:rPr>
        <w:t xml:space="preserve">Risk assessment and management relating to adult learning settings - </w:t>
      </w:r>
      <w:r w:rsidRPr="00FE6E20">
        <w:rPr>
          <w:rFonts w:ascii="Arial" w:hAnsi="Arial" w:cs="Arial"/>
          <w:color w:val="202124"/>
          <w:sz w:val="24"/>
          <w:szCs w:val="24"/>
          <w:highlight w:val="lightGray"/>
          <w:lang w:eastAsia="en-GB"/>
        </w:rPr>
        <w:t>Risk assessment and management relating to adult learning settings</w:t>
      </w:r>
      <w:r w:rsidRPr="00FE6E20">
        <w:rPr>
          <w:rFonts w:ascii="Arial" w:hAnsi="Arial" w:cs="Arial"/>
          <w:sz w:val="24"/>
          <w:szCs w:val="24"/>
          <w:highlight w:val="lightGray"/>
        </w:rPr>
        <w:t xml:space="preserve"> </w:t>
      </w:r>
      <w:r w:rsidRPr="00FE6E20">
        <w:rPr>
          <w:rFonts w:ascii="Arial" w:hAnsi="Arial" w:cs="Arial"/>
          <w:color w:val="202124"/>
          <w:sz w:val="24"/>
          <w:szCs w:val="24"/>
          <w:highlight w:val="lightGray"/>
          <w:lang w:eastAsia="en-GB"/>
        </w:rPr>
        <w:t>the range of different adult learning settings and delivery styles, such as online, face to face, outdoor, indoor, formal and informal</w:t>
      </w:r>
    </w:p>
    <w:p w:rsidR="006906A8" w:rsidRPr="00FE6E20" w:rsidRDefault="006906A8" w:rsidP="006906A8">
      <w:pPr>
        <w:rPr>
          <w:rFonts w:cs="Arial"/>
          <w:szCs w:val="20"/>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Outcome 3</w:t>
      </w:r>
    </w:p>
    <w:p w:rsidR="00553C68" w:rsidRPr="00FE6E20" w:rsidRDefault="004F52F5" w:rsidP="00553C68">
      <w:pPr>
        <w:spacing w:after="0" w:line="360" w:lineRule="auto"/>
        <w:rPr>
          <w:rFonts w:cs="Arial"/>
          <w:b/>
          <w:sz w:val="24"/>
          <w:highlight w:val="lightGray"/>
        </w:rPr>
      </w:pPr>
      <w:r>
        <w:rPr>
          <w:rFonts w:cs="Arial"/>
          <w:b/>
          <w:sz w:val="24"/>
          <w:highlight w:val="lightGray"/>
        </w:rPr>
        <w:t xml:space="preserve">Outcome 3 </w:t>
      </w:r>
    </w:p>
    <w:p w:rsidR="00553C68" w:rsidRPr="00FE6E20" w:rsidRDefault="00553C68" w:rsidP="00553C68">
      <w:pPr>
        <w:shd w:val="clear" w:color="auto" w:fill="FFFFFF"/>
        <w:spacing w:after="0" w:line="360" w:lineRule="auto"/>
        <w:rPr>
          <w:rFonts w:cs="Arial"/>
          <w:color w:val="202124"/>
          <w:sz w:val="24"/>
          <w:highlight w:val="lightGray"/>
        </w:rPr>
      </w:pPr>
      <w:r w:rsidRPr="00FE6E20">
        <w:rPr>
          <w:rFonts w:cs="Arial"/>
          <w:color w:val="202124"/>
          <w:sz w:val="24"/>
          <w:highlight w:val="lightGray"/>
        </w:rPr>
        <w:t xml:space="preserve">Practice settings and context </w:t>
      </w:r>
    </w:p>
    <w:p w:rsidR="00553C68" w:rsidRPr="00FE6E20" w:rsidRDefault="00553C68" w:rsidP="00553C68">
      <w:pPr>
        <w:shd w:val="clear" w:color="auto" w:fill="FFFFFF"/>
        <w:spacing w:after="0" w:line="360" w:lineRule="auto"/>
        <w:rPr>
          <w:rFonts w:cs="Arial"/>
          <w:b/>
          <w:color w:val="202124"/>
          <w:sz w:val="24"/>
          <w:highlight w:val="lightGray"/>
        </w:rPr>
      </w:pPr>
      <w:r w:rsidRPr="00FE6E20">
        <w:rPr>
          <w:rFonts w:cs="Arial"/>
          <w:b/>
          <w:color w:val="202124"/>
          <w:sz w:val="24"/>
          <w:highlight w:val="lightGray"/>
        </w:rPr>
        <w:t xml:space="preserve">Knowledge and/or Skills </w:t>
      </w:r>
    </w:p>
    <w:p w:rsidR="00553C68" w:rsidRPr="00FE6E20" w:rsidRDefault="00553C68" w:rsidP="00553C68">
      <w:pPr>
        <w:shd w:val="clear" w:color="auto" w:fill="FFFFFF"/>
        <w:spacing w:after="0" w:line="360" w:lineRule="auto"/>
        <w:rPr>
          <w:rFonts w:cs="Arial"/>
          <w:color w:val="202124"/>
          <w:sz w:val="24"/>
          <w:highlight w:val="lightGray"/>
        </w:rPr>
      </w:pPr>
      <w:r w:rsidRPr="00FE6E20">
        <w:rPr>
          <w:rFonts w:cs="Arial"/>
          <w:color w:val="202124"/>
          <w:sz w:val="24"/>
          <w:highlight w:val="lightGray"/>
        </w:rPr>
        <w:sym w:font="Symbol" w:char="F0A8"/>
      </w:r>
      <w:r w:rsidRPr="00FE6E20">
        <w:rPr>
          <w:rFonts w:cs="Arial"/>
          <w:color w:val="202124"/>
          <w:sz w:val="24"/>
          <w:highlight w:val="lightGray"/>
        </w:rPr>
        <w:t xml:space="preserve"> Social and psychological influences affecting adult learners </w:t>
      </w:r>
    </w:p>
    <w:p w:rsidR="00553C68" w:rsidRPr="00FE6E20" w:rsidRDefault="00553C68" w:rsidP="00553C68">
      <w:pPr>
        <w:shd w:val="clear" w:color="auto" w:fill="FFFFFF"/>
        <w:spacing w:after="0" w:line="360" w:lineRule="auto"/>
        <w:rPr>
          <w:rFonts w:cs="Arial"/>
          <w:color w:val="202124"/>
          <w:sz w:val="24"/>
          <w:highlight w:val="lightGray"/>
        </w:rPr>
      </w:pPr>
      <w:r w:rsidRPr="00FE6E20">
        <w:rPr>
          <w:rFonts w:cs="Arial"/>
          <w:color w:val="202124"/>
          <w:sz w:val="24"/>
          <w:highlight w:val="lightGray"/>
        </w:rPr>
        <w:sym w:font="Symbol" w:char="F0A8"/>
      </w:r>
      <w:r w:rsidRPr="00FE6E20">
        <w:rPr>
          <w:rFonts w:cs="Arial"/>
          <w:color w:val="202124"/>
          <w:sz w:val="24"/>
          <w:highlight w:val="lightGray"/>
        </w:rPr>
        <w:t xml:space="preserve"> Policies and procedures relating to the organisational context (</w:t>
      </w:r>
      <w:r w:rsidRPr="00FE6E20">
        <w:rPr>
          <w:rFonts w:cs="Arial"/>
          <w:sz w:val="24"/>
          <w:highlight w:val="lightGray"/>
        </w:rPr>
        <w:t>Reference Page 9 of youth work documents – we tweaked for adult learning)</w:t>
      </w:r>
    </w:p>
    <w:p w:rsidR="00553C68" w:rsidRPr="00FE6E20" w:rsidRDefault="00553C68" w:rsidP="00553C68">
      <w:pPr>
        <w:spacing w:after="0" w:line="360" w:lineRule="auto"/>
        <w:rPr>
          <w:rFonts w:eastAsiaTheme="minorHAnsi" w:cs="Arial"/>
          <w:sz w:val="24"/>
          <w:highlight w:val="lightGray"/>
          <w:lang w:eastAsia="en-US"/>
        </w:rPr>
      </w:pPr>
    </w:p>
    <w:p w:rsidR="00553C68" w:rsidRPr="00FE6E20" w:rsidRDefault="00553C68" w:rsidP="00553C68">
      <w:pPr>
        <w:spacing w:after="0" w:line="360" w:lineRule="auto"/>
        <w:rPr>
          <w:rFonts w:cs="Arial"/>
          <w:sz w:val="24"/>
          <w:highlight w:val="lightGray"/>
        </w:rPr>
      </w:pPr>
      <w:r w:rsidRPr="00FE6E20">
        <w:rPr>
          <w:rFonts w:cs="Arial"/>
          <w:sz w:val="24"/>
          <w:highlight w:val="lightGray"/>
        </w:rPr>
        <w:t xml:space="preserve">Learners should be aware of the social and psychological influences affecting CLD adult learners. </w:t>
      </w:r>
    </w:p>
    <w:p w:rsidR="00553C68" w:rsidRPr="00FE6E20" w:rsidRDefault="00553C68" w:rsidP="00553C68">
      <w:pPr>
        <w:spacing w:after="0" w:line="360" w:lineRule="auto"/>
        <w:rPr>
          <w:rFonts w:cs="Arial"/>
          <w:sz w:val="24"/>
          <w:highlight w:val="lightGray"/>
        </w:rPr>
      </w:pPr>
      <w:r w:rsidRPr="00FE6E20">
        <w:rPr>
          <w:rFonts w:cs="Arial"/>
          <w:sz w:val="24"/>
          <w:highlight w:val="lightGray"/>
        </w:rPr>
        <w:t>These include:</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Personal relationships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Family relationships, children, caring responsibilities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 xml:space="preserve">Health effects, current or historical, abilities/disabilities </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Mental health</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Poverty related impacts such as financial, fuel, food, transport</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Isolation, stigmatism and discrimination</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Inclusion and exclusion</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Inequalities and stereotyping, e.g. race, religion, gender, sexual orientation</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language and cultural barriers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Literacies difficulties and digital skills / access / exclusion</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Political and social barriers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Prior learning experiences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Diversity of adult learners</w:t>
      </w:r>
    </w:p>
    <w:p w:rsidR="00553C68" w:rsidRPr="00FE6E20" w:rsidRDefault="00553C68" w:rsidP="00553C68">
      <w:pPr>
        <w:pStyle w:val="ListParagraph"/>
        <w:numPr>
          <w:ilvl w:val="1"/>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Past and present Experience of learning</w:t>
      </w:r>
    </w:p>
    <w:p w:rsidR="00553C68" w:rsidRPr="00FE6E20" w:rsidRDefault="00553C68" w:rsidP="00553C68">
      <w:pPr>
        <w:pStyle w:val="ListParagraph"/>
        <w:numPr>
          <w:ilvl w:val="1"/>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Motivation and Expectations of learning</w:t>
      </w:r>
    </w:p>
    <w:p w:rsidR="00553C68" w:rsidRPr="00FE6E20" w:rsidRDefault="00553C68" w:rsidP="00553C68">
      <w:pPr>
        <w:pStyle w:val="ListParagraph"/>
        <w:numPr>
          <w:ilvl w:val="1"/>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t>Spiky profiles, specific needs</w:t>
      </w:r>
    </w:p>
    <w:p w:rsidR="00553C68" w:rsidRPr="00FE6E20" w:rsidRDefault="00553C68" w:rsidP="00553C68">
      <w:pPr>
        <w:pStyle w:val="ListParagraph"/>
        <w:numPr>
          <w:ilvl w:val="0"/>
          <w:numId w:val="7"/>
        </w:numPr>
        <w:spacing w:after="0" w:line="360" w:lineRule="auto"/>
        <w:rPr>
          <w:rFonts w:ascii="Arial" w:hAnsi="Arial" w:cs="Arial"/>
          <w:sz w:val="24"/>
          <w:szCs w:val="24"/>
          <w:highlight w:val="lightGray"/>
        </w:rPr>
      </w:pPr>
      <w:r w:rsidRPr="00FE6E20">
        <w:rPr>
          <w:rFonts w:ascii="Arial" w:hAnsi="Arial" w:cs="Arial"/>
          <w:sz w:val="24"/>
          <w:szCs w:val="24"/>
          <w:highlight w:val="lightGray"/>
        </w:rPr>
        <w:lastRenderedPageBreak/>
        <w:t>Referral routes for support agencies, e.g. alcohol / drug helplines / CAB / food banks</w:t>
      </w:r>
    </w:p>
    <w:p w:rsidR="00553C68" w:rsidRPr="00FE6E20" w:rsidRDefault="00553C68" w:rsidP="00553C68">
      <w:pPr>
        <w:spacing w:after="0" w:line="360" w:lineRule="auto"/>
        <w:rPr>
          <w:rFonts w:cs="Arial"/>
          <w:sz w:val="24"/>
          <w:highlight w:val="lightGray"/>
        </w:rPr>
      </w:pPr>
      <w:r w:rsidRPr="00FE6E20">
        <w:rPr>
          <w:rFonts w:cs="Arial"/>
          <w:sz w:val="24"/>
          <w:highlight w:val="lightGray"/>
        </w:rPr>
        <w:t>It is important to note that the list above is not exhaustive, and also that candidates are not required to cover all aspects/influences set out in the list. It is, however, important that the discussions and research should be relevant to the needs of adult learners in the particular CLD adult organisation.</w:t>
      </w:r>
    </w:p>
    <w:p w:rsidR="00553C68" w:rsidRPr="00FE6E20" w:rsidRDefault="00553C68" w:rsidP="00553C68">
      <w:pPr>
        <w:spacing w:after="0" w:line="360" w:lineRule="auto"/>
        <w:rPr>
          <w:rFonts w:cs="Arial"/>
          <w:b/>
          <w:sz w:val="24"/>
          <w:highlight w:val="lightGray"/>
        </w:rPr>
      </w:pPr>
    </w:p>
    <w:p w:rsidR="00553C68" w:rsidRPr="00FE6E20" w:rsidRDefault="004F52F5" w:rsidP="00553C68">
      <w:pPr>
        <w:spacing w:after="0" w:line="360" w:lineRule="auto"/>
        <w:rPr>
          <w:rFonts w:cs="Arial"/>
          <w:b/>
          <w:sz w:val="28"/>
          <w:szCs w:val="28"/>
          <w:highlight w:val="lightGray"/>
        </w:rPr>
      </w:pPr>
      <w:r>
        <w:rPr>
          <w:rFonts w:cs="Arial"/>
          <w:b/>
          <w:sz w:val="28"/>
          <w:szCs w:val="28"/>
          <w:highlight w:val="lightGray"/>
        </w:rPr>
        <w:t xml:space="preserve">Outcome 4 </w:t>
      </w:r>
      <w:bookmarkStart w:id="0" w:name="_GoBack"/>
      <w:bookmarkEnd w:id="0"/>
    </w:p>
    <w:p w:rsidR="00553C68" w:rsidRPr="00FE6E20" w:rsidRDefault="00553C68" w:rsidP="00553C68">
      <w:pPr>
        <w:spacing w:after="0" w:line="360" w:lineRule="auto"/>
        <w:rPr>
          <w:rFonts w:cs="Arial"/>
          <w:sz w:val="24"/>
          <w:highlight w:val="lightGray"/>
        </w:rPr>
      </w:pPr>
      <w:r w:rsidRPr="00FE6E20">
        <w:rPr>
          <w:rFonts w:cs="Arial"/>
          <w:sz w:val="24"/>
          <w:highlight w:val="lightGray"/>
        </w:rPr>
        <w:t>Understand the role of reflection in adult learning</w:t>
      </w:r>
    </w:p>
    <w:p w:rsidR="00553C68" w:rsidRPr="00553C68" w:rsidRDefault="00553C68" w:rsidP="00553C68">
      <w:pPr>
        <w:spacing w:after="0" w:line="360" w:lineRule="auto"/>
        <w:rPr>
          <w:rFonts w:cs="Arial"/>
          <w:b/>
          <w:sz w:val="24"/>
        </w:rPr>
      </w:pPr>
      <w:r w:rsidRPr="00FE6E20">
        <w:rPr>
          <w:rFonts w:cs="Arial"/>
          <w:b/>
          <w:sz w:val="24"/>
          <w:highlight w:val="lightGray"/>
        </w:rPr>
        <w:t>Knowledge and/or Skills</w:t>
      </w:r>
    </w:p>
    <w:p w:rsidR="00553C68" w:rsidRPr="00553C68" w:rsidRDefault="00553C68" w:rsidP="00553C68">
      <w:pPr>
        <w:spacing w:after="0" w:line="360" w:lineRule="auto"/>
        <w:rPr>
          <w:rFonts w:cs="Arial"/>
          <w:sz w:val="24"/>
        </w:rPr>
      </w:pPr>
    </w:p>
    <w:p w:rsidR="006906A8" w:rsidRPr="00CB7EEA" w:rsidRDefault="006906A8" w:rsidP="006906A8">
      <w:pPr>
        <w:keepNext/>
        <w:outlineLvl w:val="0"/>
        <w:rPr>
          <w:b/>
          <w:sz w:val="28"/>
          <w:szCs w:val="20"/>
        </w:rPr>
      </w:pPr>
      <w:r w:rsidRPr="00553C68">
        <w:rPr>
          <w:rFonts w:cs="Arial"/>
          <w:b/>
          <w:sz w:val="24"/>
        </w:rPr>
        <w:br w:type="page"/>
      </w:r>
      <w:r w:rsidRPr="00CB7EEA">
        <w:rPr>
          <w:rFonts w:cs="Arial"/>
          <w:b/>
          <w:sz w:val="28"/>
          <w:szCs w:val="20"/>
        </w:rPr>
        <w:lastRenderedPageBreak/>
        <w:t xml:space="preserve">Higher </w:t>
      </w:r>
      <w:r w:rsidRPr="00CB7EEA">
        <w:rPr>
          <w:b/>
          <w:sz w:val="28"/>
          <w:szCs w:val="20"/>
        </w:rPr>
        <w:t>National Unit Specification: Statement of standards (cont</w:t>
      </w:r>
      <w:r>
        <w:rPr>
          <w:b/>
          <w:sz w:val="28"/>
          <w:szCs w:val="20"/>
        </w:rPr>
        <w:t>.</w:t>
      </w:r>
      <w:r w:rsidRPr="00CB7EEA">
        <w:rPr>
          <w:b/>
          <w:sz w:val="28"/>
          <w:szCs w:val="20"/>
        </w:rPr>
        <w:t>)</w:t>
      </w:r>
    </w:p>
    <w:p w:rsidR="00553C68" w:rsidRDefault="006906A8" w:rsidP="00553C68">
      <w:pPr>
        <w:ind w:left="1701" w:hanging="1701"/>
        <w:rPr>
          <w:b/>
          <w:szCs w:val="20"/>
        </w:rPr>
      </w:pPr>
      <w:r w:rsidRPr="00CB7EEA">
        <w:rPr>
          <w:rFonts w:cs="Arial"/>
          <w:b/>
          <w:sz w:val="28"/>
          <w:szCs w:val="20"/>
        </w:rPr>
        <w:t>Unit title:</w:t>
      </w:r>
      <w:r w:rsidRPr="00CB7EEA">
        <w:rPr>
          <w:rFonts w:cs="Arial"/>
          <w:sz w:val="28"/>
          <w:szCs w:val="20"/>
        </w:rPr>
        <w:tab/>
      </w:r>
      <w:r w:rsidR="00553C68">
        <w:rPr>
          <w:rFonts w:cs="Arial"/>
          <w:sz w:val="28"/>
          <w:szCs w:val="20"/>
        </w:rPr>
        <w:t>Context for Adult Learning</w:t>
      </w:r>
      <w:r w:rsidR="00553C68" w:rsidRPr="00CB7EEA">
        <w:rPr>
          <w:b/>
          <w:szCs w:val="20"/>
        </w:rPr>
        <w:t xml:space="preserve"> </w:t>
      </w:r>
    </w:p>
    <w:p w:rsidR="006906A8" w:rsidRPr="00553C68" w:rsidRDefault="006906A8" w:rsidP="00553C68">
      <w:pPr>
        <w:ind w:left="1701" w:hanging="1701"/>
        <w:rPr>
          <w:b/>
          <w:szCs w:val="20"/>
          <w:highlight w:val="yellow"/>
        </w:rPr>
      </w:pPr>
      <w:r w:rsidRPr="00553C68">
        <w:rPr>
          <w:b/>
          <w:szCs w:val="20"/>
          <w:highlight w:val="yellow"/>
        </w:rPr>
        <w:t>Evidence requirements for this unit</w:t>
      </w:r>
    </w:p>
    <w:p w:rsidR="006906A8" w:rsidRPr="00553C68" w:rsidRDefault="006906A8" w:rsidP="006906A8">
      <w:pPr>
        <w:rPr>
          <w:rFonts w:cs="Arial"/>
          <w:szCs w:val="22"/>
          <w:highlight w:val="yellow"/>
        </w:rPr>
      </w:pPr>
      <w:r w:rsidRPr="00553C68">
        <w:rPr>
          <w:rFonts w:cs="Arial"/>
          <w:szCs w:val="22"/>
          <w:highlight w:val="yellow"/>
        </w:rPr>
        <w:t>Learners will need to provide evidence to demonstrate their knowledge and/or skills across all outcomes by showing that they can:</w:t>
      </w:r>
    </w:p>
    <w:p w:rsidR="006906A8" w:rsidRPr="00553C68" w:rsidRDefault="006906A8" w:rsidP="006906A8">
      <w:pPr>
        <w:rPr>
          <w:rFonts w:cs="Arial"/>
          <w:szCs w:val="22"/>
          <w:highlight w:val="yellow"/>
        </w:rPr>
      </w:pP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spacing w:after="12"/>
        <w:ind w:left="425" w:hanging="425"/>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You should give details of the most appropriate way of assessing here. Assessment may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Outcome by outcome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Two or more outcomes together</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All outcomes together — holistic assessment of the unit</w:t>
      </w:r>
    </w:p>
    <w:p w:rsidR="006906A8" w:rsidRPr="00CB7EEA" w:rsidRDefault="006906A8" w:rsidP="006906A8">
      <w:pPr>
        <w:rPr>
          <w:rFonts w:cs="Arial"/>
          <w:szCs w:val="20"/>
        </w:rPr>
      </w:pPr>
    </w:p>
    <w:p w:rsidR="006906A8" w:rsidRPr="00CB7EEA" w:rsidRDefault="006906A8" w:rsidP="006906A8">
      <w:pPr>
        <w:rPr>
          <w:rFonts w:cs="Arial"/>
          <w:szCs w:val="20"/>
        </w:rPr>
      </w:pPr>
    </w:p>
    <w:p w:rsidR="006906A8" w:rsidRPr="00CB7EEA" w:rsidRDefault="006906A8" w:rsidP="006906A8">
      <w:pPr>
        <w:jc w:val="both"/>
        <w:rPr>
          <w:rFonts w:cs="Arial"/>
          <w:b/>
          <w:noProof/>
          <w:sz w:val="28"/>
          <w:szCs w:val="20"/>
        </w:rPr>
      </w:pPr>
      <w:r w:rsidRPr="00CB7EEA">
        <w:rPr>
          <w:szCs w:val="20"/>
        </w:rPr>
        <w:br w:type="page"/>
      </w:r>
    </w:p>
    <w:p w:rsidR="006906A8" w:rsidRPr="00CB7EEA" w:rsidRDefault="006906A8" w:rsidP="006906A8">
      <w:pPr>
        <w:jc w:val="right"/>
        <w:rPr>
          <w:rFonts w:cs="Arial"/>
          <w:b/>
          <w:noProof/>
          <w:sz w:val="28"/>
          <w:szCs w:val="20"/>
        </w:rPr>
      </w:pPr>
      <w:r w:rsidRPr="00CB7EEA">
        <w:rPr>
          <w:noProof/>
          <w:szCs w:val="20"/>
        </w:rPr>
        <w:lastRenderedPageBreak/>
        <w:drawing>
          <wp:inline distT="0" distB="0" distL="0" distR="0" wp14:anchorId="5B24D77C" wp14:editId="2F6B8E28">
            <wp:extent cx="1828800" cy="971550"/>
            <wp:effectExtent l="0" t="0" r="0" b="0"/>
            <wp:docPr id="14"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6906A8" w:rsidRPr="00CB7EEA" w:rsidRDefault="006906A8" w:rsidP="006906A8">
      <w:pPr>
        <w:keepNext/>
        <w:outlineLvl w:val="0"/>
        <w:rPr>
          <w:b/>
          <w:noProof/>
          <w:sz w:val="28"/>
          <w:szCs w:val="20"/>
        </w:rPr>
      </w:pPr>
      <w:r w:rsidRPr="00CB7EEA">
        <w:rPr>
          <w:b/>
          <w:noProof/>
          <w:sz w:val="28"/>
          <w:szCs w:val="20"/>
        </w:rPr>
        <w:t>Higher National Unit Support Notes</w:t>
      </w:r>
    </w:p>
    <w:p w:rsidR="00553C68" w:rsidRDefault="006906A8" w:rsidP="00553C68">
      <w:pPr>
        <w:ind w:left="1701" w:hanging="1701"/>
        <w:rPr>
          <w:szCs w:val="22"/>
        </w:rPr>
      </w:pPr>
      <w:r w:rsidRPr="00CB7EEA">
        <w:rPr>
          <w:rFonts w:cs="Arial"/>
          <w:b/>
          <w:sz w:val="28"/>
          <w:szCs w:val="20"/>
        </w:rPr>
        <w:t>Unit title:</w:t>
      </w:r>
      <w:r w:rsidRPr="00CB7EEA">
        <w:rPr>
          <w:rFonts w:cs="Arial"/>
          <w:sz w:val="28"/>
          <w:szCs w:val="20"/>
        </w:rPr>
        <w:tab/>
      </w:r>
      <w:r w:rsidR="00553C68">
        <w:rPr>
          <w:rFonts w:cs="Arial"/>
          <w:sz w:val="28"/>
          <w:szCs w:val="20"/>
        </w:rPr>
        <w:t>Context for Adult Learning</w:t>
      </w:r>
      <w:r w:rsidR="00553C68" w:rsidRPr="00CB7EEA">
        <w:rPr>
          <w:szCs w:val="22"/>
        </w:rPr>
        <w:t xml:space="preserve"> </w:t>
      </w:r>
    </w:p>
    <w:p w:rsidR="006906A8" w:rsidRPr="00553C68" w:rsidRDefault="006906A8" w:rsidP="00553C68">
      <w:pPr>
        <w:ind w:left="1701" w:hanging="1701"/>
        <w:rPr>
          <w:szCs w:val="22"/>
          <w:highlight w:val="yellow"/>
        </w:rPr>
      </w:pPr>
      <w:r w:rsidRPr="00553C68">
        <w:rPr>
          <w:szCs w:val="22"/>
          <w:highlight w:val="yellow"/>
        </w:rPr>
        <w:t>Unit support notes are offered as guidance and are not mandatory.</w:t>
      </w:r>
    </w:p>
    <w:p w:rsidR="006906A8" w:rsidRPr="00553C68" w:rsidRDefault="006906A8" w:rsidP="006906A8">
      <w:pPr>
        <w:rPr>
          <w:szCs w:val="22"/>
          <w:highlight w:val="yellow"/>
        </w:rPr>
      </w:pPr>
      <w:r w:rsidRPr="00553C68">
        <w:rPr>
          <w:szCs w:val="22"/>
          <w:highlight w:val="yellow"/>
        </w:rPr>
        <w:t>While the exact time allocated to this unit is at the discretion of the centre, the notional design length is XX hours.</w:t>
      </w:r>
    </w:p>
    <w:p w:rsidR="006906A8" w:rsidRPr="00553C68" w:rsidRDefault="006906A8" w:rsidP="006906A8">
      <w:pPr>
        <w:keepNext/>
        <w:outlineLvl w:val="0"/>
        <w:rPr>
          <w:b/>
          <w:sz w:val="28"/>
          <w:szCs w:val="20"/>
          <w:highlight w:val="yellow"/>
        </w:rPr>
      </w:pPr>
      <w:r w:rsidRPr="00553C68">
        <w:rPr>
          <w:b/>
          <w:sz w:val="28"/>
          <w:szCs w:val="20"/>
          <w:highlight w:val="yellow"/>
        </w:rPr>
        <w:t>Guidance on the content and context for this unit</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include information on the following features where appropriate.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expand on unit purpose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expand on unit outcomes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contextualise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identify specific vocational/subject knowledge and skills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recognition by professional bodies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relationship to NOS and/or other industry standards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whether the unit provides underpinning knowledge for SVQs or other qualifications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progression pathways</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t xml:space="preserve">Guidance on </w:t>
      </w:r>
      <w:r w:rsidRPr="00553C68">
        <w:rPr>
          <w:b/>
          <w:sz w:val="28"/>
          <w:szCs w:val="20"/>
          <w:highlight w:val="yellow"/>
          <w:lang w:val="en-US"/>
        </w:rPr>
        <w:t xml:space="preserve">approaches to </w:t>
      </w:r>
      <w:r w:rsidRPr="00553C68">
        <w:rPr>
          <w:b/>
          <w:sz w:val="28"/>
          <w:szCs w:val="20"/>
          <w:highlight w:val="yellow"/>
        </w:rPr>
        <w:t>delivery of this unit</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r w:rsidRPr="00553C68">
        <w:rPr>
          <w:rFonts w:cs="Arial"/>
          <w:b/>
          <w:i/>
          <w:szCs w:val="22"/>
          <w:highlight w:val="yellow"/>
        </w:rPr>
        <w:t>Note to unit writers:</w:t>
      </w:r>
      <w:r w:rsidRPr="00553C68">
        <w:rPr>
          <w:rFonts w:cs="Arial"/>
          <w:i/>
          <w:szCs w:val="22"/>
          <w:highlight w:val="yellow"/>
        </w:rPr>
        <w:t xml:space="preserve"> This section should provide the reader with details of any specific delivery </w:t>
      </w:r>
      <w:r w:rsidRPr="00553C68">
        <w:rPr>
          <w:rFonts w:cs="Arial"/>
          <w:szCs w:val="22"/>
          <w:highlight w:val="yellow"/>
        </w:rPr>
        <w:t xml:space="preserve">criteria for the unit, eg specific teaching qualifications, access to physical/specialist resources, legislation, examination/assessment administered on or behalf of another agency, environmental setting (workplace/simulated). It should also provide readers with suggestions </w:t>
      </w:r>
      <w:r w:rsidRPr="00553C68">
        <w:rPr>
          <w:rFonts w:cs="Arial"/>
          <w:i/>
          <w:szCs w:val="22"/>
          <w:highlight w:val="yellow"/>
        </w:rPr>
        <w:t>of how teaching or delivery might be organised, for example:</w:t>
      </w:r>
    </w:p>
    <w:p w:rsidR="006906A8" w:rsidRPr="00553C68"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 preferred order of teaching (and assessing) certain topics.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ideas about possible delivery methods including classroom activities, field trips, visits and group work, the aim being to encourage the use of learning and teaching approaches that are varied and appropriate to the aims of the unit — so your advice might be to encourage a learner-centred, participative and practical approach.</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lastRenderedPageBreak/>
        <w:t xml:space="preserve">Guidance on </w:t>
      </w:r>
      <w:r w:rsidRPr="00553C68">
        <w:rPr>
          <w:b/>
          <w:sz w:val="28"/>
          <w:szCs w:val="20"/>
          <w:highlight w:val="yellow"/>
          <w:lang w:val="en-US"/>
        </w:rPr>
        <w:t>approaches to assessment of this u</w:t>
      </w:r>
      <w:r w:rsidRPr="00553C68">
        <w:rPr>
          <w:b/>
          <w:sz w:val="28"/>
          <w:szCs w:val="20"/>
          <w:highlight w:val="yellow"/>
        </w:rPr>
        <w:t>nit</w:t>
      </w:r>
    </w:p>
    <w:p w:rsidR="006906A8" w:rsidRPr="00553C68" w:rsidRDefault="006906A8" w:rsidP="006906A8">
      <w:pPr>
        <w:rPr>
          <w:szCs w:val="22"/>
          <w:highlight w:val="yellow"/>
        </w:rPr>
      </w:pPr>
      <w:r w:rsidRPr="00553C68">
        <w:rPr>
          <w:szCs w:val="22"/>
          <w:highlight w:val="yellow"/>
        </w:rPr>
        <w:t>Evidence can be generated using different types of assessment. The following are suggestions only. There may be other methods that would be more suitable to learners.</w:t>
      </w:r>
    </w:p>
    <w:p w:rsidR="006906A8" w:rsidRPr="00553C68" w:rsidRDefault="006906A8" w:rsidP="006906A8">
      <w:pPr>
        <w:rPr>
          <w:szCs w:val="22"/>
          <w:highlight w:val="yellow"/>
        </w:rPr>
      </w:pPr>
      <w:r w:rsidRPr="00553C68">
        <w:rPr>
          <w:szCs w:val="22"/>
          <w:highlight w:val="yellow"/>
        </w:rPr>
        <w:t>Centres are reminded that prior verification of centre-devised assessments would help to ensure that the national standard is being met. Where learners experience a range of assessment methods, this helps them to develop different skills that should be transferable to work or further and higher education.</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include information on the following features where appropriate: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how assessment could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possible instruments of assessment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conditions of assessment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how to integrate assessment in an outcome and/or across outcomes or as a whole unit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details of how sampling should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advice on how a learner’s work can be authenticated</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t>Opportunities for e-assessment</w:t>
      </w:r>
    </w:p>
    <w:p w:rsidR="006906A8" w:rsidRPr="00553C68" w:rsidRDefault="006906A8" w:rsidP="006906A8">
      <w:pPr>
        <w:rPr>
          <w:szCs w:val="22"/>
          <w:highlight w:val="yellow"/>
        </w:rPr>
      </w:pPr>
      <w:r w:rsidRPr="00553C68">
        <w:rPr>
          <w:rFonts w:cs="Arial"/>
          <w:szCs w:val="20"/>
          <w:highlight w:val="yellow"/>
        </w:rPr>
        <w:t>E-assessment may be appropriate for some assessments in this unit. By e-assessment we mean assessment which is supported by Information and Communication Technology (ICT), such as e-testing or the use of e-portfolios or social software. Centres which wish to use</w:t>
      </w:r>
      <w:r w:rsidRPr="00553C68">
        <w:rPr>
          <w:rFonts w:cs="Arial"/>
          <w:szCs w:val="20"/>
          <w:highlight w:val="yellow"/>
        </w:rPr>
        <w:br/>
        <w:t>e-assessment must ensure that the national standard is applied to all learner evidence and that conditions of assessment as specified in the evidence requirements are met, regardless of the mode of gathering evidence. The most up-to-date guidance on the use of</w:t>
      </w:r>
      <w:r w:rsidRPr="00553C68">
        <w:rPr>
          <w:rFonts w:cs="Arial"/>
          <w:szCs w:val="20"/>
          <w:highlight w:val="yellow"/>
        </w:rPr>
        <w:br/>
        <w:t>e-assessment to support SQA’s qualifications is available at</w:t>
      </w:r>
      <w:r w:rsidRPr="00553C68">
        <w:rPr>
          <w:rFonts w:cs="Arial"/>
          <w:szCs w:val="20"/>
          <w:highlight w:val="yellow"/>
        </w:rPr>
        <w:br/>
      </w:r>
      <w:r w:rsidRPr="00553C68">
        <w:rPr>
          <w:rFonts w:cs="Arial"/>
          <w:b/>
          <w:szCs w:val="20"/>
          <w:highlight w:val="yellow"/>
        </w:rPr>
        <w:t>www.sqa.org.uk/e-assessment</w:t>
      </w:r>
      <w:r w:rsidRPr="00553C68">
        <w:rPr>
          <w:rFonts w:cs="Arial"/>
          <w:szCs w:val="20"/>
          <w:highlight w:val="yellow"/>
        </w:rPr>
        <w:t>.</w:t>
      </w:r>
    </w:p>
    <w:p w:rsidR="006906A8" w:rsidRPr="00553C68" w:rsidRDefault="006906A8" w:rsidP="006906A8">
      <w:pPr>
        <w:rPr>
          <w:szCs w:val="22"/>
          <w:highlight w:val="yellow"/>
        </w:rPr>
      </w:pPr>
    </w:p>
    <w:p w:rsidR="006906A8" w:rsidRPr="00553C68" w:rsidRDefault="006906A8" w:rsidP="006906A8">
      <w:pPr>
        <w:tabs>
          <w:tab w:val="clear" w:pos="357"/>
          <w:tab w:val="clear" w:pos="567"/>
        </w:tabs>
        <w:suppressAutoHyphens w:val="0"/>
        <w:spacing w:after="160" w:line="259" w:lineRule="auto"/>
        <w:rPr>
          <w:b/>
          <w:sz w:val="28"/>
          <w:szCs w:val="20"/>
          <w:highlight w:val="yellow"/>
        </w:rPr>
      </w:pPr>
      <w:r w:rsidRPr="00553C68">
        <w:rPr>
          <w:b/>
          <w:sz w:val="28"/>
          <w:szCs w:val="20"/>
          <w:highlight w:val="yellow"/>
        </w:rPr>
        <w:br w:type="page"/>
      </w:r>
    </w:p>
    <w:p w:rsidR="006906A8" w:rsidRPr="00553C68" w:rsidRDefault="006906A8" w:rsidP="006906A8">
      <w:pPr>
        <w:keepNext/>
        <w:outlineLvl w:val="0"/>
        <w:rPr>
          <w:b/>
          <w:sz w:val="28"/>
          <w:szCs w:val="20"/>
          <w:highlight w:val="yellow"/>
        </w:rPr>
      </w:pPr>
      <w:r w:rsidRPr="00553C68">
        <w:rPr>
          <w:b/>
          <w:sz w:val="28"/>
          <w:szCs w:val="20"/>
          <w:highlight w:val="yellow"/>
        </w:rPr>
        <w:lastRenderedPageBreak/>
        <w:t xml:space="preserve">Opportunities for developing Core </w:t>
      </w:r>
      <w:r w:rsidRPr="00553C68">
        <w:rPr>
          <w:b/>
          <w:sz w:val="28"/>
          <w:szCs w:val="20"/>
          <w:highlight w:val="yellow"/>
          <w:lang w:val="en-US"/>
        </w:rPr>
        <w:t>and other essential skills</w:t>
      </w:r>
    </w:p>
    <w:p w:rsidR="006906A8" w:rsidRPr="00553C68" w:rsidRDefault="006906A8" w:rsidP="006906A8">
      <w:pPr>
        <w:rPr>
          <w:rFonts w:cs="Arial"/>
          <w:szCs w:val="20"/>
          <w:highlight w:val="yellow"/>
        </w:rPr>
      </w:pPr>
      <w:r w:rsidRPr="00553C68">
        <w:rPr>
          <w:rFonts w:cs="Arial"/>
          <w:szCs w:val="20"/>
          <w:highlight w:val="yellow"/>
        </w:rPr>
        <w:t>Text</w:t>
      </w:r>
    </w:p>
    <w:p w:rsidR="006906A8" w:rsidRPr="00CB7EEA" w:rsidRDefault="006906A8" w:rsidP="006906A8">
      <w:pPr>
        <w:rPr>
          <w:rFonts w:cs="Arial"/>
          <w:i/>
          <w:szCs w:val="20"/>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p w:rsidR="006906A8" w:rsidRPr="00CB7EEA" w:rsidRDefault="006906A8" w:rsidP="006906A8">
      <w:pPr>
        <w:rPr>
          <w:szCs w:val="20"/>
        </w:rPr>
      </w:pPr>
    </w:p>
    <w:p w:rsidR="006906A8" w:rsidRPr="00CB7EEA" w:rsidRDefault="006906A8" w:rsidP="006906A8">
      <w:pPr>
        <w:rPr>
          <w:szCs w:val="20"/>
        </w:rPr>
      </w:pPr>
    </w:p>
    <w:p w:rsidR="006906A8" w:rsidRPr="00CB7EEA" w:rsidRDefault="006906A8" w:rsidP="006906A8">
      <w:pPr>
        <w:keepNext/>
        <w:outlineLvl w:val="0"/>
        <w:rPr>
          <w:b/>
          <w:sz w:val="28"/>
          <w:szCs w:val="20"/>
        </w:rPr>
      </w:pPr>
      <w:r w:rsidRPr="00CB7EEA">
        <w:rPr>
          <w:b/>
          <w:sz w:val="28"/>
          <w:szCs w:val="20"/>
        </w:rPr>
        <w:br w:type="page"/>
      </w:r>
      <w:r w:rsidRPr="00CB7EEA">
        <w:rPr>
          <w:b/>
          <w:sz w:val="28"/>
          <w:szCs w:val="20"/>
        </w:rPr>
        <w:lastRenderedPageBreak/>
        <w:t>History of changes to unit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6523"/>
        <w:gridCol w:w="1273"/>
      </w:tblGrid>
      <w:tr w:rsidR="006906A8" w:rsidRPr="00CB7EEA" w:rsidTr="001E7F5E">
        <w:trPr>
          <w:trHeight w:val="397"/>
        </w:trPr>
        <w:tc>
          <w:tcPr>
            <w:tcW w:w="1228" w:type="dxa"/>
            <w:shd w:val="clear" w:color="auto" w:fill="BFBFBF"/>
            <w:vAlign w:val="center"/>
          </w:tcPr>
          <w:p w:rsidR="006906A8" w:rsidRPr="00CB7EEA" w:rsidRDefault="006906A8" w:rsidP="001E7F5E">
            <w:pPr>
              <w:autoSpaceDE w:val="0"/>
              <w:autoSpaceDN w:val="0"/>
              <w:adjustRightInd w:val="0"/>
              <w:spacing w:line="240" w:lineRule="atLeast"/>
              <w:rPr>
                <w:rFonts w:cs="Arial"/>
                <w:b/>
                <w:color w:val="000000"/>
              </w:rPr>
            </w:pPr>
            <w:r w:rsidRPr="00CB7EEA">
              <w:rPr>
                <w:rFonts w:cs="Arial"/>
                <w:b/>
                <w:color w:val="000000"/>
              </w:rPr>
              <w:t>Version</w:t>
            </w:r>
          </w:p>
        </w:tc>
        <w:tc>
          <w:tcPr>
            <w:tcW w:w="6719" w:type="dxa"/>
            <w:shd w:val="clear" w:color="auto" w:fill="BFBFBF"/>
            <w:vAlign w:val="center"/>
          </w:tcPr>
          <w:p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Description of change</w:t>
            </w:r>
          </w:p>
        </w:tc>
        <w:tc>
          <w:tcPr>
            <w:tcW w:w="1295" w:type="dxa"/>
            <w:shd w:val="clear" w:color="auto" w:fill="BFBFBF"/>
            <w:vAlign w:val="center"/>
          </w:tcPr>
          <w:p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Date</w:t>
            </w: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bl>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rPr>
          <w:szCs w:val="20"/>
        </w:rPr>
      </w:pPr>
      <w:r w:rsidRPr="00CB7EEA">
        <w:rPr>
          <w:szCs w:val="20"/>
        </w:rPr>
        <w:t>© Scottish Qualifications Authority 20XX</w:t>
      </w:r>
    </w:p>
    <w:p w:rsidR="006906A8" w:rsidRPr="00CB7EEA" w:rsidRDefault="006906A8" w:rsidP="006906A8">
      <w:pPr>
        <w:rPr>
          <w:szCs w:val="20"/>
        </w:rPr>
      </w:pPr>
    </w:p>
    <w:p w:rsidR="006906A8" w:rsidRPr="00CB7EEA" w:rsidRDefault="006906A8" w:rsidP="006906A8">
      <w:pPr>
        <w:rPr>
          <w:szCs w:val="20"/>
        </w:rPr>
      </w:pPr>
      <w:r w:rsidRPr="00CB7EEA">
        <w:rPr>
          <w:szCs w:val="20"/>
        </w:rPr>
        <w:t>This publication may be reproduced in whole or in part for educational purposes provided that no profit is derived from reproduction and that, if reproduced in part, the source is acknowledged.</w:t>
      </w:r>
    </w:p>
    <w:p w:rsidR="006906A8" w:rsidRPr="00CB7EEA" w:rsidRDefault="006906A8" w:rsidP="006906A8">
      <w:pPr>
        <w:rPr>
          <w:szCs w:val="20"/>
        </w:rPr>
      </w:pPr>
    </w:p>
    <w:p w:rsidR="006906A8" w:rsidRPr="00CB7EEA" w:rsidRDefault="006906A8" w:rsidP="006906A8">
      <w:pPr>
        <w:rPr>
          <w:szCs w:val="20"/>
        </w:rPr>
      </w:pPr>
      <w:r w:rsidRPr="00CB7EEA">
        <w:rPr>
          <w:szCs w:val="20"/>
        </w:rPr>
        <w:t xml:space="preserve">Additional copies of this unit specification can be purchased from the Scottish Qualifications Authority. Please contact the Business Development and Customer Support team, telephone </w:t>
      </w:r>
    </w:p>
    <w:p w:rsidR="006906A8" w:rsidRPr="00CB7EEA" w:rsidRDefault="006906A8" w:rsidP="006906A8">
      <w:pPr>
        <w:rPr>
          <w:szCs w:val="20"/>
        </w:rPr>
      </w:pPr>
      <w:r w:rsidRPr="00CB7EEA">
        <w:rPr>
          <w:szCs w:val="20"/>
        </w:rPr>
        <w:t>0303 333 0330.</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keepNext/>
        <w:outlineLvl w:val="0"/>
        <w:rPr>
          <w:b/>
          <w:sz w:val="28"/>
          <w:szCs w:val="20"/>
        </w:rPr>
      </w:pPr>
      <w:r w:rsidRPr="00CB7EEA">
        <w:rPr>
          <w:rFonts w:cs="Arial"/>
          <w:b/>
          <w:color w:val="000000"/>
          <w:sz w:val="28"/>
          <w:szCs w:val="22"/>
        </w:rPr>
        <w:br w:type="page"/>
      </w:r>
      <w:r w:rsidRPr="00CB7EEA">
        <w:rPr>
          <w:b/>
          <w:sz w:val="28"/>
          <w:szCs w:val="20"/>
        </w:rPr>
        <w:lastRenderedPageBreak/>
        <w:t xml:space="preserve">General information for </w:t>
      </w:r>
      <w:r w:rsidRPr="00CB7EEA">
        <w:rPr>
          <w:b/>
          <w:sz w:val="28"/>
          <w:szCs w:val="20"/>
          <w:lang w:val="en-US"/>
        </w:rPr>
        <w:t>learners</w:t>
      </w:r>
    </w:p>
    <w:p w:rsidR="006906A8" w:rsidRPr="00CB7EEA" w:rsidRDefault="006906A8" w:rsidP="006906A8">
      <w:pPr>
        <w:keepNext/>
        <w:ind w:left="1701" w:hanging="1701"/>
        <w:outlineLvl w:val="1"/>
        <w:rPr>
          <w:sz w:val="28"/>
          <w:szCs w:val="20"/>
        </w:rPr>
      </w:pPr>
      <w:r w:rsidRPr="00CB7EEA">
        <w:rPr>
          <w:b/>
          <w:sz w:val="28"/>
          <w:szCs w:val="20"/>
        </w:rPr>
        <w:t>Unit title:</w:t>
      </w:r>
      <w:r w:rsidRPr="00CB7EEA">
        <w:rPr>
          <w:sz w:val="28"/>
          <w:szCs w:val="20"/>
        </w:rPr>
        <w:fldChar w:fldCharType="begin"/>
      </w:r>
      <w:r w:rsidRPr="00CB7EEA">
        <w:rPr>
          <w:sz w:val="28"/>
          <w:szCs w:val="20"/>
        </w:rPr>
        <w:instrText xml:space="preserve">  </w:instrText>
      </w:r>
      <w:r w:rsidRPr="00CB7EEA">
        <w:rPr>
          <w:sz w:val="28"/>
          <w:szCs w:val="20"/>
        </w:rPr>
        <w:fldChar w:fldCharType="end"/>
      </w:r>
      <w:r w:rsidRPr="00CB7EEA">
        <w:rPr>
          <w:sz w:val="28"/>
          <w:szCs w:val="20"/>
        </w:rPr>
        <w:tab/>
        <w:t>See unit writer brief</w:t>
      </w:r>
    </w:p>
    <w:p w:rsidR="006906A8" w:rsidRPr="00CB7EEA" w:rsidRDefault="006906A8" w:rsidP="006906A8">
      <w:pPr>
        <w:rPr>
          <w:szCs w:val="22"/>
        </w:rPr>
      </w:pPr>
      <w:r w:rsidRPr="00CB7EEA">
        <w:rPr>
          <w:szCs w:val="22"/>
        </w:rPr>
        <w:t>This section will help you decide whether this is the unit for you by explaining what the unit is about, what you should know or be able to do before you start, what you will need to do during the unit and opportunities for further learning and employment.</w:t>
      </w:r>
    </w:p>
    <w:p w:rsidR="006906A8" w:rsidRPr="00CB7EEA" w:rsidRDefault="006906A8" w:rsidP="006906A8">
      <w:pPr>
        <w:rPr>
          <w:szCs w:val="22"/>
        </w:rPr>
      </w:pPr>
    </w:p>
    <w:p w:rsidR="006906A8" w:rsidRPr="00CB7EEA" w:rsidRDefault="006906A8" w:rsidP="006906A8">
      <w:pPr>
        <w:rPr>
          <w:rFonts w:cs="Arial"/>
          <w:szCs w:val="20"/>
        </w:rPr>
      </w:pPr>
      <w:r w:rsidRPr="00CB7EEA">
        <w:rPr>
          <w:rFonts w:cs="Arial"/>
          <w:szCs w:val="20"/>
        </w:rPr>
        <w:t>Text</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rPr>
          <w:rFonts w:cs="Arial"/>
          <w:i/>
          <w:szCs w:val="20"/>
          <w:highlight w:val="lightGray"/>
        </w:rPr>
      </w:pPr>
      <w:r w:rsidRPr="00CB7EEA">
        <w:rPr>
          <w:rFonts w:cs="Arial"/>
          <w:b/>
          <w:szCs w:val="20"/>
          <w:highlight w:val="lightGray"/>
        </w:rPr>
        <w:t>Note to unit writers:</w:t>
      </w:r>
      <w:r w:rsidRPr="00CB7EEA">
        <w:rPr>
          <w:rFonts w:cs="Arial"/>
          <w:szCs w:val="20"/>
          <w:highlight w:val="lightGray"/>
        </w:rPr>
        <w:t xml:space="preserve"> </w:t>
      </w:r>
      <w:r w:rsidRPr="00CB7EEA">
        <w:rPr>
          <w:rFonts w:cs="Arial"/>
          <w:i/>
          <w:szCs w:val="20"/>
          <w:highlight w:val="lightGray"/>
        </w:rPr>
        <w:t>This section will include information on the following features where appropriate.</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brief overview on what the unit is about</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what learners will do/learn while working through the unit</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the subject specific knowledge and skills they will develop</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how they will be assessed</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Core Skills they will develop, how they will be developed and whether they will be certificated</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other skills development in enterprise, employability, sustainable development, citizenship</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professional body recognition/exemplification (if applicable)</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Default="006906A8" w:rsidP="006906A8">
      <w:pPr>
        <w:spacing w:after="160" w:line="259" w:lineRule="auto"/>
        <w:rPr>
          <w:rFonts w:asciiTheme="majorHAnsi" w:eastAsiaTheme="majorEastAsia" w:hAnsiTheme="majorHAnsi" w:cstheme="majorBidi"/>
          <w:b/>
          <w:sz w:val="28"/>
          <w:szCs w:val="26"/>
        </w:rPr>
      </w:pPr>
      <w:r>
        <w:br w:type="page"/>
      </w:r>
    </w:p>
    <w:p w:rsidR="004C042B" w:rsidRDefault="001D0984"/>
    <w:sectPr w:rsidR="004C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12D6"/>
    <w:multiLevelType w:val="hybridMultilevel"/>
    <w:tmpl w:val="7FFEB0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325A77"/>
    <w:multiLevelType w:val="hybridMultilevel"/>
    <w:tmpl w:val="9F2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27AF2"/>
    <w:multiLevelType w:val="hybridMultilevel"/>
    <w:tmpl w:val="B9EE654E"/>
    <w:lvl w:ilvl="0" w:tplc="5A34F458">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41769B"/>
    <w:multiLevelType w:val="hybridMultilevel"/>
    <w:tmpl w:val="F6EE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4D2F06"/>
    <w:multiLevelType w:val="hybridMultilevel"/>
    <w:tmpl w:val="851036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3757B6"/>
    <w:multiLevelType w:val="hybridMultilevel"/>
    <w:tmpl w:val="434E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C4DC3"/>
    <w:multiLevelType w:val="hybridMultilevel"/>
    <w:tmpl w:val="E2FC7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A8"/>
    <w:rsid w:val="001D0984"/>
    <w:rsid w:val="004F52F5"/>
    <w:rsid w:val="00553C68"/>
    <w:rsid w:val="006906A8"/>
    <w:rsid w:val="0075316F"/>
    <w:rsid w:val="008518C5"/>
    <w:rsid w:val="009A5139"/>
    <w:rsid w:val="00A44649"/>
    <w:rsid w:val="00EA350D"/>
    <w:rsid w:val="00F11871"/>
    <w:rsid w:val="00FE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B618"/>
  <w15:chartTrackingRefBased/>
  <w15:docId w15:val="{6C848D41-A57E-46BD-BED1-AC7C4CC6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A8"/>
    <w:pPr>
      <w:tabs>
        <w:tab w:val="left" w:pos="357"/>
        <w:tab w:val="left" w:pos="567"/>
      </w:tabs>
      <w:suppressAutoHyphens/>
      <w:spacing w:after="280" w:line="280" w:lineRule="atLeast"/>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6906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6906A8"/>
    <w:pPr>
      <w:keepLines w:val="0"/>
      <w:tabs>
        <w:tab w:val="clear" w:pos="357"/>
        <w:tab w:val="clear" w:pos="567"/>
        <w:tab w:val="left" w:pos="0"/>
      </w:tabs>
      <w:spacing w:before="720" w:after="280" w:line="240" w:lineRule="auto"/>
      <w:outlineLvl w:val="1"/>
    </w:pPr>
    <w:rPr>
      <w:rFonts w:ascii="Arial" w:eastAsia="SimSun" w:hAnsi="Arial" w:cstheme="minorBidi"/>
      <w:b/>
      <w:color w:val="auto"/>
      <w:kern w:val="28"/>
      <w:sz w:val="36"/>
      <w:szCs w:val="3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6A8"/>
    <w:rPr>
      <w:rFonts w:ascii="Arial" w:eastAsia="SimSun" w:hAnsi="Arial"/>
      <w:b/>
      <w:kern w:val="28"/>
      <w:sz w:val="36"/>
      <w:szCs w:val="36"/>
      <w:lang w:bidi="en-US"/>
    </w:rPr>
  </w:style>
  <w:style w:type="character" w:customStyle="1" w:styleId="Heading1Char">
    <w:name w:val="Heading 1 Char"/>
    <w:basedOn w:val="DefaultParagraphFont"/>
    <w:link w:val="Heading1"/>
    <w:uiPriority w:val="9"/>
    <w:rsid w:val="006906A8"/>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34"/>
    <w:qFormat/>
    <w:rsid w:val="00EA350D"/>
    <w:pPr>
      <w:tabs>
        <w:tab w:val="clear" w:pos="357"/>
        <w:tab w:val="clear" w:pos="567"/>
      </w:tabs>
      <w:suppressAutoHyphens w:val="0"/>
      <w:spacing w:after="200" w:line="276"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EA350D"/>
    <w:pPr>
      <w:tabs>
        <w:tab w:val="left" w:pos="357"/>
        <w:tab w:val="left" w:pos="567"/>
      </w:tabs>
      <w:suppressAutoHyphens/>
      <w:spacing w:after="0" w:line="240" w:lineRule="auto"/>
    </w:pPr>
    <w:rPr>
      <w:rFonts w:ascii="Arial" w:eastAsia="Times New Roman" w:hAnsi="Arial" w:cs="Times New Roman"/>
      <w:szCs w:val="24"/>
      <w:lang w:eastAsia="en-GB"/>
    </w:rPr>
  </w:style>
  <w:style w:type="character" w:styleId="Hyperlink">
    <w:name w:val="Hyperlink"/>
    <w:basedOn w:val="DefaultParagraphFont"/>
    <w:uiPriority w:val="99"/>
    <w:unhideWhenUsed/>
    <w:rsid w:val="00EA3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0139">
      <w:bodyDiv w:val="1"/>
      <w:marLeft w:val="0"/>
      <w:marRight w:val="0"/>
      <w:marTop w:val="0"/>
      <w:marBottom w:val="0"/>
      <w:divBdr>
        <w:top w:val="none" w:sz="0" w:space="0" w:color="auto"/>
        <w:left w:val="none" w:sz="0" w:space="0" w:color="auto"/>
        <w:bottom w:val="none" w:sz="0" w:space="0" w:color="auto"/>
        <w:right w:val="none" w:sz="0" w:space="0" w:color="auto"/>
      </w:divBdr>
    </w:div>
    <w:div w:id="1442262695">
      <w:bodyDiv w:val="1"/>
      <w:marLeft w:val="0"/>
      <w:marRight w:val="0"/>
      <w:marTop w:val="0"/>
      <w:marBottom w:val="0"/>
      <w:divBdr>
        <w:top w:val="none" w:sz="0" w:space="0" w:color="auto"/>
        <w:left w:val="none" w:sz="0" w:space="0" w:color="auto"/>
        <w:bottom w:val="none" w:sz="0" w:space="0" w:color="auto"/>
        <w:right w:val="none" w:sz="0" w:space="0" w:color="auto"/>
      </w:divBdr>
    </w:div>
    <w:div w:id="18430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a.org.uk/assessmentarrangements" TargetMode="External"/><Relationship Id="rId3" Type="http://schemas.openxmlformats.org/officeDocument/2006/relationships/settings" Target="settings.xml"/><Relationship Id="rId7" Type="http://schemas.openxmlformats.org/officeDocument/2006/relationships/hyperlink" Target="http://www.sqa.org.uk/sqa/46233.27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Howie</dc:creator>
  <cp:keywords/>
  <dc:description/>
  <cp:lastModifiedBy>Jackie Howie</cp:lastModifiedBy>
  <cp:revision>4</cp:revision>
  <dcterms:created xsi:type="dcterms:W3CDTF">2022-02-09T15:14:00Z</dcterms:created>
  <dcterms:modified xsi:type="dcterms:W3CDTF">2022-02-24T14:48:00Z</dcterms:modified>
</cp:coreProperties>
</file>